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588" w:rsidRDefault="00724588" w:rsidP="00724588">
      <w:pPr>
        <w:pStyle w:val="Pro-Gramma"/>
        <w:spacing w:before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24588" w:rsidRDefault="00724588" w:rsidP="00724588">
      <w:pPr>
        <w:pStyle w:val="Pro-Gramma"/>
        <w:spacing w:before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724588" w:rsidRPr="00A775F6" w:rsidRDefault="00724588" w:rsidP="00724588">
      <w:pPr>
        <w:pStyle w:val="Pro-Gramma"/>
        <w:spacing w:before="0" w:line="240" w:lineRule="auto"/>
        <w:ind w:left="0"/>
        <w:jc w:val="center"/>
        <w:rPr>
          <w:rFonts w:ascii="Times New Roman" w:hAnsi="Times New Roman"/>
          <w:b/>
          <w:sz w:val="24"/>
        </w:rPr>
      </w:pPr>
      <w:r w:rsidRPr="00A775F6">
        <w:rPr>
          <w:rFonts w:ascii="Times New Roman" w:hAnsi="Times New Roman"/>
          <w:b/>
          <w:sz w:val="24"/>
        </w:rPr>
        <w:t>Отчет</w:t>
      </w:r>
    </w:p>
    <w:p w:rsidR="00724588" w:rsidRPr="00A775F6" w:rsidRDefault="00724588" w:rsidP="00724588">
      <w:pPr>
        <w:pStyle w:val="Pro-Gramma"/>
        <w:spacing w:before="0" w:line="240" w:lineRule="auto"/>
        <w:ind w:left="0"/>
        <w:jc w:val="center"/>
        <w:rPr>
          <w:rFonts w:ascii="Times New Roman" w:hAnsi="Times New Roman"/>
          <w:b/>
          <w:sz w:val="24"/>
        </w:rPr>
      </w:pPr>
      <w:r w:rsidRPr="00A775F6">
        <w:rPr>
          <w:rFonts w:ascii="Times New Roman" w:hAnsi="Times New Roman"/>
          <w:b/>
          <w:sz w:val="24"/>
        </w:rPr>
        <w:t xml:space="preserve">о результатах мониторинга </w:t>
      </w:r>
    </w:p>
    <w:p w:rsidR="00724588" w:rsidRDefault="00724588" w:rsidP="00724588">
      <w:pPr>
        <w:pStyle w:val="Pro-Gramma"/>
        <w:spacing w:before="0" w:line="240" w:lineRule="auto"/>
        <w:ind w:left="0" w:firstLine="709"/>
      </w:pPr>
    </w:p>
    <w:p w:rsidR="00724588" w:rsidRDefault="00724588" w:rsidP="00724588">
      <w:pPr>
        <w:pStyle w:val="Pro-Gramma"/>
        <w:spacing w:before="0" w:line="240" w:lineRule="auto"/>
        <w:ind w:left="0" w:firstLine="709"/>
      </w:pPr>
    </w:p>
    <w:p w:rsidR="00724588" w:rsidRPr="00A775F6" w:rsidRDefault="00724588" w:rsidP="00724588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4"/>
        </w:rPr>
      </w:pPr>
      <w:r w:rsidRPr="00A775F6">
        <w:rPr>
          <w:rFonts w:ascii="Times New Roman" w:hAnsi="Times New Roman"/>
          <w:sz w:val="24"/>
        </w:rPr>
        <w:t>Контрольно-ревизионным сектором отдела экономического анализа, бюджетного планирования и контроля в соответствии со статьей 160.2</w:t>
      </w:r>
      <w:r w:rsidRPr="00A775F6">
        <w:rPr>
          <w:rFonts w:ascii="Times New Roman" w:hAnsi="Times New Roman"/>
          <w:sz w:val="24"/>
        </w:rPr>
        <w:noBreakHyphen/>
        <w:t xml:space="preserve">1 Бюджетного Кодекса Российской Федерации проведен мониторинг качества финансового менеджмента </w:t>
      </w:r>
      <w:hyperlink r:id="rId5" w:history="1">
        <w:r w:rsidRPr="00F3141E">
          <w:rPr>
            <w:rFonts w:ascii="Times New Roman" w:hAnsi="Times New Roman"/>
            <w:b/>
            <w:i/>
            <w:sz w:val="24"/>
            <w:u w:val="single"/>
          </w:rPr>
          <w:t>Ленинградского областного государственного казенного учреждения «Центр социальной защиты населения»</w:t>
        </w:r>
      </w:hyperlink>
      <w:r w:rsidRPr="00A775F6">
        <w:rPr>
          <w:rFonts w:ascii="Times New Roman" w:hAnsi="Times New Roman"/>
          <w:sz w:val="24"/>
        </w:rPr>
        <w:t xml:space="preserve"> </w:t>
      </w:r>
      <w:r w:rsidRPr="00A775F6">
        <w:rPr>
          <w:rFonts w:ascii="Times New Roman" w:hAnsi="Times New Roman"/>
          <w:b/>
          <w:sz w:val="24"/>
        </w:rPr>
        <w:t>за 2020 год.</w:t>
      </w:r>
    </w:p>
    <w:tbl>
      <w:tblPr>
        <w:tblW w:w="10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3725"/>
        <w:gridCol w:w="1559"/>
        <w:gridCol w:w="1276"/>
        <w:gridCol w:w="992"/>
        <w:gridCol w:w="1549"/>
      </w:tblGrid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F3141E" w:rsidRDefault="002F7747" w:rsidP="00F3141E">
            <w:pPr>
              <w:pStyle w:val="Pro-Gramma"/>
              <w:spacing w:before="0" w:line="240" w:lineRule="auto"/>
              <w:ind w:left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hAnsi="Times New Roman"/>
                <w:sz w:val="22"/>
                <w:szCs w:val="22"/>
              </w:rPr>
              <w:t>№ показателя</w:t>
            </w:r>
          </w:p>
        </w:tc>
        <w:tc>
          <w:tcPr>
            <w:tcW w:w="3725" w:type="dxa"/>
            <w:shd w:val="clear" w:color="auto" w:fill="auto"/>
          </w:tcPr>
          <w:p w:rsidR="002F7747" w:rsidRPr="00F3141E" w:rsidRDefault="002F7747" w:rsidP="00F3141E">
            <w:pPr>
              <w:pStyle w:val="Pro-Gramma"/>
              <w:spacing w:before="0" w:line="240" w:lineRule="auto"/>
              <w:ind w:left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shd w:val="clear" w:color="auto" w:fill="auto"/>
          </w:tcPr>
          <w:p w:rsidR="002F7747" w:rsidRPr="00F3141E" w:rsidRDefault="002F7747" w:rsidP="00F3141E">
            <w:pPr>
              <w:pStyle w:val="Pro-Gramma"/>
              <w:spacing w:before="0" w:line="240" w:lineRule="auto"/>
              <w:ind w:left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hAnsi="Times New Roman"/>
                <w:sz w:val="22"/>
                <w:szCs w:val="22"/>
              </w:rPr>
              <w:t>Интегральная оценка качества финансового менеджмента</w:t>
            </w:r>
          </w:p>
        </w:tc>
        <w:tc>
          <w:tcPr>
            <w:tcW w:w="1276" w:type="dxa"/>
            <w:shd w:val="clear" w:color="auto" w:fill="auto"/>
          </w:tcPr>
          <w:p w:rsidR="002F7747" w:rsidRPr="00F3141E" w:rsidRDefault="00F3141E" w:rsidP="00F3141E">
            <w:pPr>
              <w:pStyle w:val="Pro-Gramma"/>
              <w:spacing w:before="0" w:line="240" w:lineRule="auto"/>
              <w:ind w:left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hAnsi="Times New Roman"/>
                <w:bCs/>
                <w:sz w:val="22"/>
                <w:szCs w:val="22"/>
              </w:rPr>
              <w:t>Минимальное и максимальное</w:t>
            </w:r>
            <w:r w:rsidRPr="00F3141E">
              <w:rPr>
                <w:rFonts w:ascii="Times New Roman" w:hAnsi="Times New Roman"/>
                <w:bCs/>
                <w:sz w:val="22"/>
                <w:szCs w:val="22"/>
              </w:rPr>
              <w:br/>
              <w:t xml:space="preserve"> значения показателя</w:t>
            </w:r>
          </w:p>
        </w:tc>
        <w:tc>
          <w:tcPr>
            <w:tcW w:w="992" w:type="dxa"/>
            <w:shd w:val="clear" w:color="auto" w:fill="auto"/>
          </w:tcPr>
          <w:p w:rsidR="002F7747" w:rsidRPr="00F3141E" w:rsidRDefault="00F3141E" w:rsidP="00F3141E">
            <w:pPr>
              <w:pStyle w:val="Pro-Gramma"/>
              <w:spacing w:before="0" w:line="240" w:lineRule="auto"/>
              <w:ind w:left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hAnsi="Times New Roman"/>
                <w:sz w:val="22"/>
                <w:szCs w:val="22"/>
              </w:rPr>
              <w:t>Вес показателя</w:t>
            </w:r>
          </w:p>
        </w:tc>
        <w:tc>
          <w:tcPr>
            <w:tcW w:w="1549" w:type="dxa"/>
            <w:shd w:val="clear" w:color="auto" w:fill="auto"/>
          </w:tcPr>
          <w:p w:rsidR="002F7747" w:rsidRPr="00F3141E" w:rsidRDefault="002F7747" w:rsidP="00F3141E">
            <w:pPr>
              <w:pStyle w:val="Pro-Gramma"/>
              <w:spacing w:before="0" w:line="240" w:lineRule="auto"/>
              <w:ind w:left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hAnsi="Times New Roman"/>
                <w:sz w:val="22"/>
                <w:szCs w:val="22"/>
              </w:rPr>
              <w:t>Степень качества финансового менеджмента</w:t>
            </w:r>
          </w:p>
        </w:tc>
      </w:tr>
      <w:tr w:rsidR="002F7747" w:rsidRPr="00D7428E" w:rsidTr="002F7747">
        <w:tc>
          <w:tcPr>
            <w:tcW w:w="8897" w:type="dxa"/>
            <w:gridSpan w:val="5"/>
            <w:shd w:val="clear" w:color="auto" w:fill="auto"/>
          </w:tcPr>
          <w:p w:rsidR="002F7747" w:rsidRPr="00D7428E" w:rsidRDefault="002F7747" w:rsidP="00D62D1D">
            <w:pPr>
              <w:pStyle w:val="Pro-Gramma"/>
              <w:spacing w:before="0" w:line="240" w:lineRule="auto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b/>
                <w:sz w:val="22"/>
                <w:szCs w:val="22"/>
              </w:rPr>
              <w:t>1. Оценка качества исполнения  прогноза кассовых расходов казенным учреждением</w:t>
            </w:r>
          </w:p>
        </w:tc>
        <w:tc>
          <w:tcPr>
            <w:tcW w:w="1549" w:type="dxa"/>
            <w:tcBorders>
              <w:bottom w:val="nil"/>
            </w:tcBorders>
            <w:shd w:val="clear" w:color="auto" w:fill="auto"/>
          </w:tcPr>
          <w:p w:rsidR="002F7747" w:rsidRPr="00D7428E" w:rsidRDefault="002F7747" w:rsidP="00D62D1D">
            <w:pPr>
              <w:pStyle w:val="Pro-Gramma"/>
              <w:spacing w:before="0" w:line="240" w:lineRule="auto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D62D1D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D62D1D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Соотношение кассовых расходов и плановых объемов  за отчетный период</w:t>
            </w:r>
          </w:p>
        </w:tc>
        <w:tc>
          <w:tcPr>
            <w:tcW w:w="1559" w:type="dxa"/>
            <w:shd w:val="clear" w:color="auto" w:fill="auto"/>
          </w:tcPr>
          <w:p w:rsidR="002F7747" w:rsidRPr="00D7428E" w:rsidRDefault="002F7747" w:rsidP="00D7428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7428E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F3141E" w:rsidRPr="00F3141E" w:rsidRDefault="00F3141E" w:rsidP="00F3141E">
            <w:pPr>
              <w:spacing w:after="0" w:line="240" w:lineRule="auto"/>
              <w:ind w:left="-74" w:right="-112"/>
              <w:jc w:val="center"/>
              <w:rPr>
                <w:rFonts w:ascii="Times New Roman" w:hAnsi="Times New Roman"/>
              </w:rPr>
            </w:pPr>
            <w:r w:rsidRPr="00F3141E">
              <w:rPr>
                <w:rFonts w:ascii="Times New Roman" w:hAnsi="Times New Roman"/>
                <w:lang w:val="en-US"/>
              </w:rPr>
              <w:t>max=</w:t>
            </w:r>
            <w:r w:rsidRPr="00F3141E">
              <w:rPr>
                <w:rFonts w:ascii="Times New Roman" w:hAnsi="Times New Roman"/>
              </w:rPr>
              <w:t>98%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>min=</w:t>
            </w:r>
            <w:r w:rsidRPr="00F3141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549" w:type="dxa"/>
            <w:vMerge w:val="restart"/>
            <w:tcBorders>
              <w:top w:val="nil"/>
            </w:tcBorders>
            <w:shd w:val="clear" w:color="auto" w:fill="auto"/>
          </w:tcPr>
          <w:p w:rsidR="002F7747" w:rsidRPr="00F3141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3141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</w:t>
            </w:r>
          </w:p>
        </w:tc>
      </w:tr>
      <w:tr w:rsidR="002F7747" w:rsidRPr="00D7428E" w:rsidTr="002F7747">
        <w:tc>
          <w:tcPr>
            <w:tcW w:w="8897" w:type="dxa"/>
            <w:gridSpan w:val="5"/>
            <w:shd w:val="clear" w:color="auto" w:fill="auto"/>
          </w:tcPr>
          <w:p w:rsidR="002F7747" w:rsidRPr="00D7428E" w:rsidRDefault="002F7747" w:rsidP="002F7747">
            <w:pPr>
              <w:pStyle w:val="Pro-Gramma"/>
              <w:spacing w:before="0" w:line="240" w:lineRule="auto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b/>
                <w:sz w:val="22"/>
                <w:szCs w:val="22"/>
              </w:rPr>
              <w:t>2. Оценка просроченной кредиторской задолженности казенного  учреждения</w:t>
            </w:r>
          </w:p>
        </w:tc>
        <w:tc>
          <w:tcPr>
            <w:tcW w:w="1549" w:type="dxa"/>
            <w:vMerge/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D62D1D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D62D1D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Отношение просроченной кредиторской задолженности казенного  учреждения  к объему бюджетных расходов</w:t>
            </w:r>
          </w:p>
        </w:tc>
        <w:tc>
          <w:tcPr>
            <w:tcW w:w="1559" w:type="dxa"/>
            <w:shd w:val="clear" w:color="auto" w:fill="auto"/>
          </w:tcPr>
          <w:p w:rsidR="002F7747" w:rsidRPr="00D7428E" w:rsidRDefault="002F7747" w:rsidP="00D7428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7428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 w:line="240" w:lineRule="auto"/>
              <w:ind w:left="-40"/>
              <w:jc w:val="center"/>
              <w:rPr>
                <w:rFonts w:ascii="Times New Roman" w:hAnsi="Times New Roman"/>
              </w:rPr>
            </w:pPr>
            <w:r w:rsidRPr="00F3141E">
              <w:rPr>
                <w:rFonts w:ascii="Times New Roman" w:hAnsi="Times New Roman"/>
                <w:lang w:val="en-US"/>
              </w:rPr>
              <w:t>max=</w:t>
            </w:r>
            <w:r w:rsidRPr="00F3141E">
              <w:rPr>
                <w:rFonts w:ascii="Times New Roman" w:hAnsi="Times New Roman"/>
              </w:rPr>
              <w:t>0%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>min=</w:t>
            </w:r>
            <w:r w:rsidRPr="00F3141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0,5%</w:t>
            </w:r>
          </w:p>
        </w:tc>
        <w:tc>
          <w:tcPr>
            <w:tcW w:w="992" w:type="dxa"/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549" w:type="dxa"/>
            <w:vMerge/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2F7747">
        <w:tc>
          <w:tcPr>
            <w:tcW w:w="8897" w:type="dxa"/>
            <w:gridSpan w:val="5"/>
            <w:shd w:val="clear" w:color="auto" w:fill="auto"/>
          </w:tcPr>
          <w:p w:rsidR="002F7747" w:rsidRPr="00D7428E" w:rsidRDefault="002F7747" w:rsidP="002F774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b/>
                <w:sz w:val="22"/>
                <w:szCs w:val="22"/>
              </w:rPr>
              <w:t>3. Оценка своевременности предоставления бюджетной отчетности  казенным учреждением</w:t>
            </w:r>
          </w:p>
        </w:tc>
        <w:tc>
          <w:tcPr>
            <w:tcW w:w="1549" w:type="dxa"/>
            <w:vMerge/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Число случаев несвоевременного представления  казенным учреждением квартальной, годовой отчетностей об исполнении областного бюджета</w:t>
            </w:r>
          </w:p>
        </w:tc>
        <w:tc>
          <w:tcPr>
            <w:tcW w:w="1559" w:type="dxa"/>
            <w:shd w:val="clear" w:color="auto" w:fill="auto"/>
          </w:tcPr>
          <w:p w:rsidR="002F7747" w:rsidRPr="00392C3B" w:rsidRDefault="002F7747" w:rsidP="00392C3B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92C3B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41E">
              <w:rPr>
                <w:rFonts w:ascii="Times New Roman" w:hAnsi="Times New Roman"/>
                <w:sz w:val="24"/>
                <w:szCs w:val="24"/>
                <w:lang w:val="en-US"/>
              </w:rPr>
              <w:t>max=</w:t>
            </w:r>
            <w:r w:rsidRPr="00F3141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4"/>
                <w:lang w:val="en-US" w:eastAsia="en-US"/>
              </w:rPr>
              <w:t>min=</w:t>
            </w:r>
            <w:r w:rsidRPr="00F3141E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549" w:type="dxa"/>
            <w:vMerge/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2F7747">
        <w:tc>
          <w:tcPr>
            <w:tcW w:w="8897" w:type="dxa"/>
            <w:gridSpan w:val="5"/>
            <w:shd w:val="clear" w:color="auto" w:fill="auto"/>
          </w:tcPr>
          <w:p w:rsidR="002F7747" w:rsidRPr="00D7428E" w:rsidRDefault="002F7747" w:rsidP="002F774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b/>
                <w:sz w:val="22"/>
                <w:szCs w:val="22"/>
              </w:rPr>
              <w:t>4. Оценка безошибочности предоставления бюджетной отчетности  казенным учреждением</w:t>
            </w:r>
          </w:p>
        </w:tc>
        <w:tc>
          <w:tcPr>
            <w:tcW w:w="1549" w:type="dxa"/>
            <w:vMerge/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Наличие ошибок в формах бюджетной отчетности, направленной в программном комплексе "Свод-СМАРТ"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2F7747" w:rsidRPr="001A17C2" w:rsidRDefault="001A17C2" w:rsidP="00392C3B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41E">
              <w:rPr>
                <w:rFonts w:ascii="Times New Roman" w:hAnsi="Times New Roman"/>
                <w:sz w:val="24"/>
                <w:szCs w:val="24"/>
                <w:lang w:val="en-US"/>
              </w:rPr>
              <w:t>max=</w:t>
            </w:r>
            <w:r w:rsidRPr="00F3141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4"/>
                <w:lang w:val="en-US" w:eastAsia="en-US"/>
              </w:rPr>
              <w:t>min=</w:t>
            </w:r>
            <w:r w:rsidRPr="00F3141E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9" w:type="dxa"/>
            <w:vMerge/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2F7747">
        <w:tc>
          <w:tcPr>
            <w:tcW w:w="8897" w:type="dxa"/>
            <w:gridSpan w:val="5"/>
            <w:shd w:val="clear" w:color="auto" w:fill="auto"/>
          </w:tcPr>
          <w:p w:rsidR="002F7747" w:rsidRPr="00D7428E" w:rsidRDefault="002F7747" w:rsidP="00F3141E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b/>
                <w:sz w:val="22"/>
                <w:szCs w:val="22"/>
              </w:rPr>
              <w:t xml:space="preserve">5. Оценка полноты размещения сведений, публикуемых казенным учреждением на официальном сайте в сети Интернет </w:t>
            </w:r>
            <w:r w:rsidRPr="00D742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www</w:t>
            </w:r>
            <w:r w:rsidRPr="00D7428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r w:rsidRPr="00D742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bus</w:t>
            </w:r>
            <w:r w:rsidRPr="00D7428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proofErr w:type="spellStart"/>
            <w:r w:rsidRPr="00D742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gov</w:t>
            </w:r>
            <w:proofErr w:type="spellEnd"/>
            <w:r w:rsidRPr="00D7428E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proofErr w:type="spellStart"/>
            <w:r w:rsidRPr="00D7428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ru</w:t>
            </w:r>
            <w:proofErr w:type="spellEnd"/>
          </w:p>
        </w:tc>
        <w:tc>
          <w:tcPr>
            <w:tcW w:w="1549" w:type="dxa"/>
            <w:vMerge/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F3141E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Число случаев в отчетном периоде не в полном объеме размещения на официальном сайте в сети Интернет www.bus.gov.ru информации в соответствии с требованиями приказа Министерства финансов Российской Федерации от 21 июля 2011 года № 86н</w:t>
            </w:r>
          </w:p>
        </w:tc>
        <w:tc>
          <w:tcPr>
            <w:tcW w:w="1559" w:type="dxa"/>
            <w:shd w:val="clear" w:color="auto" w:fill="auto"/>
          </w:tcPr>
          <w:p w:rsidR="002F7747" w:rsidRPr="00392C3B" w:rsidRDefault="002F7747" w:rsidP="00392C3B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92C3B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41E">
              <w:rPr>
                <w:rFonts w:ascii="Times New Roman" w:hAnsi="Times New Roman"/>
                <w:sz w:val="24"/>
                <w:szCs w:val="24"/>
                <w:lang w:val="en-US"/>
              </w:rPr>
              <w:t>max=</w:t>
            </w:r>
            <w:r w:rsidRPr="00F3141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4"/>
                <w:lang w:val="en-US" w:eastAsia="en-US"/>
              </w:rPr>
              <w:t>min=</w:t>
            </w:r>
            <w:r w:rsidRPr="00F3141E">
              <w:rPr>
                <w:rFonts w:ascii="Times New Roman" w:eastAsia="Calibri" w:hAnsi="Times New Roman"/>
                <w:sz w:val="24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9" w:type="dxa"/>
            <w:vMerge/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141E" w:rsidRPr="00D7428E" w:rsidTr="00032061">
        <w:tc>
          <w:tcPr>
            <w:tcW w:w="8897" w:type="dxa"/>
            <w:gridSpan w:val="5"/>
            <w:shd w:val="clear" w:color="auto" w:fill="auto"/>
          </w:tcPr>
          <w:p w:rsidR="00F3141E" w:rsidRPr="00D7428E" w:rsidRDefault="00F3141E" w:rsidP="00F3141E">
            <w:pPr>
              <w:pStyle w:val="Pro-Gramma"/>
              <w:spacing w:before="0" w:line="240" w:lineRule="auto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b/>
                <w:sz w:val="22"/>
                <w:szCs w:val="22"/>
              </w:rPr>
              <w:t>6. Оценка качества управления активами казенного учреждения</w:t>
            </w:r>
          </w:p>
        </w:tc>
        <w:tc>
          <w:tcPr>
            <w:tcW w:w="1549" w:type="dxa"/>
            <w:vMerge/>
            <w:shd w:val="clear" w:color="auto" w:fill="auto"/>
          </w:tcPr>
          <w:p w:rsidR="00F3141E" w:rsidRPr="00D7428E" w:rsidRDefault="00F3141E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6.1.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Процент недостач и (или) хищений государственной собственности, выявленных у казенного учреждения</w:t>
            </w:r>
          </w:p>
        </w:tc>
        <w:tc>
          <w:tcPr>
            <w:tcW w:w="1559" w:type="dxa"/>
            <w:shd w:val="clear" w:color="auto" w:fill="auto"/>
          </w:tcPr>
          <w:p w:rsidR="002F7747" w:rsidRPr="00392C3B" w:rsidRDefault="002F7747" w:rsidP="00392C3B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92C3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/>
              <w:ind w:firstLine="18"/>
              <w:contextualSpacing/>
              <w:jc w:val="center"/>
              <w:rPr>
                <w:rFonts w:ascii="Times New Roman" w:hAnsi="Times New Roman"/>
              </w:rPr>
            </w:pPr>
            <w:r w:rsidRPr="00F3141E">
              <w:rPr>
                <w:rFonts w:ascii="Times New Roman" w:hAnsi="Times New Roman"/>
                <w:lang w:val="en-US"/>
              </w:rPr>
              <w:t>max=</w:t>
            </w:r>
            <w:r w:rsidRPr="00F3141E">
              <w:rPr>
                <w:rFonts w:ascii="Times New Roman" w:hAnsi="Times New Roman"/>
              </w:rPr>
              <w:t>0%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>min=</w:t>
            </w:r>
            <w:r w:rsidRPr="00F3141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0,1%</w:t>
            </w:r>
          </w:p>
        </w:tc>
        <w:tc>
          <w:tcPr>
            <w:tcW w:w="992" w:type="dxa"/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549" w:type="dxa"/>
            <w:vMerge/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6.2.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 xml:space="preserve">Отношение просроченной дебиторской задолженности государственного казенного </w:t>
            </w:r>
            <w:r w:rsidRPr="00D7428E">
              <w:rPr>
                <w:rFonts w:ascii="Times New Roman" w:hAnsi="Times New Roman"/>
                <w:sz w:val="22"/>
                <w:szCs w:val="22"/>
              </w:rPr>
              <w:lastRenderedPageBreak/>
              <w:t>учреждения, к объему бюджетных расходов</w:t>
            </w:r>
          </w:p>
        </w:tc>
        <w:tc>
          <w:tcPr>
            <w:tcW w:w="1559" w:type="dxa"/>
            <w:shd w:val="clear" w:color="auto" w:fill="auto"/>
          </w:tcPr>
          <w:p w:rsidR="002F7747" w:rsidRPr="00392C3B" w:rsidRDefault="002F7747" w:rsidP="00392C3B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92C3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/>
              <w:ind w:firstLine="18"/>
              <w:jc w:val="center"/>
              <w:rPr>
                <w:rFonts w:ascii="Times New Roman" w:hAnsi="Times New Roman"/>
              </w:rPr>
            </w:pPr>
            <w:r w:rsidRPr="00F3141E">
              <w:rPr>
                <w:rFonts w:ascii="Times New Roman" w:hAnsi="Times New Roman"/>
                <w:lang w:val="en-US"/>
              </w:rPr>
              <w:t>max=</w:t>
            </w:r>
            <w:r w:rsidRPr="00F3141E">
              <w:rPr>
                <w:rFonts w:ascii="Times New Roman" w:hAnsi="Times New Roman"/>
              </w:rPr>
              <w:t>0%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>min=</w:t>
            </w:r>
            <w:r w:rsidRPr="00F3141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0,5%</w:t>
            </w:r>
          </w:p>
        </w:tc>
        <w:tc>
          <w:tcPr>
            <w:tcW w:w="992" w:type="dxa"/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549" w:type="dxa"/>
            <w:vMerge/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2F7747">
        <w:tc>
          <w:tcPr>
            <w:tcW w:w="8897" w:type="dxa"/>
            <w:gridSpan w:val="5"/>
            <w:shd w:val="clear" w:color="auto" w:fill="auto"/>
          </w:tcPr>
          <w:p w:rsidR="002F7747" w:rsidRPr="002F7747" w:rsidRDefault="002F7747" w:rsidP="002F7747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2F7747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7. Оценка качества осуществления закупок товаров, работ и услуг для обеспечения государственных нужд</w:t>
            </w:r>
          </w:p>
        </w:tc>
        <w:tc>
          <w:tcPr>
            <w:tcW w:w="1549" w:type="dxa"/>
            <w:vMerge w:val="restart"/>
            <w:tcBorders>
              <w:top w:val="nil"/>
            </w:tcBorders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7.1.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Процент документов государственного казенного учреждения, прошедших контроль в сфере закупок</w:t>
            </w:r>
          </w:p>
        </w:tc>
        <w:tc>
          <w:tcPr>
            <w:tcW w:w="1559" w:type="dxa"/>
            <w:shd w:val="clear" w:color="auto" w:fill="auto"/>
          </w:tcPr>
          <w:p w:rsidR="002F7747" w:rsidRPr="00392C3B" w:rsidRDefault="002F7747" w:rsidP="00392C3B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92C3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</w:rPr>
            </w:pPr>
            <w:r w:rsidRPr="00F3141E">
              <w:rPr>
                <w:rFonts w:ascii="Times New Roman" w:hAnsi="Times New Roman"/>
                <w:lang w:val="en-US"/>
              </w:rPr>
              <w:t>max=</w:t>
            </w:r>
            <w:r w:rsidRPr="00F3141E">
              <w:rPr>
                <w:rFonts w:ascii="Times New Roman" w:hAnsi="Times New Roman"/>
              </w:rPr>
              <w:t>95%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>min=</w:t>
            </w:r>
            <w:r w:rsidRPr="00F3141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75%</w:t>
            </w:r>
          </w:p>
        </w:tc>
        <w:tc>
          <w:tcPr>
            <w:tcW w:w="992" w:type="dxa"/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7.2.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 xml:space="preserve">Количество административных штрафов, наложенных на должностных лиц  казенного учреждения, за нарушение законодательства о контрактной системе в сфере закупок, в расчете на 100 млн. руб. расходов на </w:t>
            </w:r>
            <w:r w:rsidRPr="00D7428E">
              <w:rPr>
                <w:rFonts w:ascii="Times New Roman" w:hAnsi="Times New Roman"/>
                <w:iCs/>
                <w:sz w:val="22"/>
                <w:szCs w:val="22"/>
              </w:rPr>
              <w:t>оплату товаров, работ и услуг</w:t>
            </w:r>
          </w:p>
        </w:tc>
        <w:tc>
          <w:tcPr>
            <w:tcW w:w="1559" w:type="dxa"/>
            <w:shd w:val="clear" w:color="auto" w:fill="auto"/>
          </w:tcPr>
          <w:p w:rsidR="002F7747" w:rsidRPr="00392C3B" w:rsidRDefault="002F7747" w:rsidP="00392C3B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92C3B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141E">
              <w:rPr>
                <w:rFonts w:ascii="Times New Roman" w:hAnsi="Times New Roman"/>
                <w:lang w:val="en-US"/>
              </w:rPr>
              <w:t>max=</w:t>
            </w:r>
            <w:r w:rsidRPr="00F3141E">
              <w:rPr>
                <w:rFonts w:ascii="Times New Roman" w:hAnsi="Times New Roman"/>
              </w:rPr>
              <w:t>0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>min=</w:t>
            </w:r>
            <w:r w:rsidRPr="00F3141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7.3.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Уровень дебиторской задолженности по расчетам с поставщиками и подрядчиками за отчетный период</w:t>
            </w:r>
          </w:p>
        </w:tc>
        <w:tc>
          <w:tcPr>
            <w:tcW w:w="1559" w:type="dxa"/>
            <w:shd w:val="clear" w:color="auto" w:fill="auto"/>
          </w:tcPr>
          <w:p w:rsidR="002F7747" w:rsidRPr="00F3141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3141E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3141E">
              <w:rPr>
                <w:rFonts w:ascii="Times New Roman" w:hAnsi="Times New Roman"/>
                <w:lang w:val="en-US"/>
              </w:rPr>
              <w:t>max=3</w:t>
            </w:r>
            <w:r w:rsidRPr="00F3141E">
              <w:rPr>
                <w:rFonts w:ascii="Times New Roman" w:hAnsi="Times New Roman"/>
              </w:rPr>
              <w:t>0</w:t>
            </w:r>
            <w:r w:rsidRPr="00F3141E">
              <w:rPr>
                <w:rFonts w:ascii="Times New Roman" w:hAnsi="Times New Roman"/>
                <w:lang w:val="en-US"/>
              </w:rPr>
              <w:t>%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>min=0%</w:t>
            </w:r>
          </w:p>
        </w:tc>
        <w:tc>
          <w:tcPr>
            <w:tcW w:w="992" w:type="dxa"/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2F7747">
        <w:tc>
          <w:tcPr>
            <w:tcW w:w="8897" w:type="dxa"/>
            <w:gridSpan w:val="5"/>
            <w:shd w:val="clear" w:color="auto" w:fill="auto"/>
          </w:tcPr>
          <w:p w:rsidR="002F7747" w:rsidRPr="00CD0BF4" w:rsidRDefault="002F7747" w:rsidP="00CD0BF4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/>
                <w:b/>
                <w:lang w:eastAsia="ru-RU"/>
              </w:rPr>
            </w:pPr>
            <w:r w:rsidRPr="00CD0BF4">
              <w:rPr>
                <w:rFonts w:ascii="Times New Roman" w:eastAsia="Times New Roman" w:hAnsi="Times New Roman"/>
                <w:b/>
                <w:lang w:eastAsia="ru-RU"/>
              </w:rPr>
              <w:t>8.Оценка качества финансового менеджмента казенного учреждения</w:t>
            </w:r>
          </w:p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8</w:t>
            </w:r>
            <w:r w:rsidRPr="00D7428E">
              <w:rPr>
                <w:rFonts w:ascii="Times New Roman" w:hAnsi="Times New Roman"/>
                <w:sz w:val="22"/>
                <w:szCs w:val="22"/>
              </w:rPr>
              <w:t>.1.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Количество судебных решений, вступивших в законную силу в отчетном году и предусматривающих полное или частичное удовлетворение исковых требований о взыскании с государственного казенного учреждения, по принятым им как получателем бюджетных средств денежным обязательствам</w:t>
            </w:r>
          </w:p>
        </w:tc>
        <w:tc>
          <w:tcPr>
            <w:tcW w:w="1559" w:type="dxa"/>
            <w:shd w:val="clear" w:color="auto" w:fill="auto"/>
          </w:tcPr>
          <w:p w:rsidR="002F7747" w:rsidRPr="001A17C2" w:rsidRDefault="001A17C2" w:rsidP="00F809D0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highlight w:val="red"/>
                <w:lang w:val="en-US"/>
              </w:rPr>
            </w:pPr>
            <w:r w:rsidRPr="001A17C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3141E">
              <w:rPr>
                <w:rFonts w:ascii="Times New Roman" w:hAnsi="Times New Roman"/>
                <w:lang w:val="en-US"/>
              </w:rPr>
              <w:t>max=0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>min=1</w:t>
            </w:r>
          </w:p>
        </w:tc>
        <w:tc>
          <w:tcPr>
            <w:tcW w:w="992" w:type="dxa"/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549" w:type="dxa"/>
            <w:vMerge/>
            <w:tcBorders>
              <w:top w:val="nil"/>
            </w:tcBorders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7747" w:rsidRPr="00D7428E" w:rsidTr="00F3141E">
        <w:tc>
          <w:tcPr>
            <w:tcW w:w="1345" w:type="dxa"/>
            <w:shd w:val="clear" w:color="auto" w:fill="auto"/>
          </w:tcPr>
          <w:p w:rsidR="002F7747" w:rsidRPr="00D7428E" w:rsidRDefault="002F7747" w:rsidP="00A775F6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P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7428E">
              <w:rPr>
                <w:rFonts w:ascii="Times New Roman" w:hAnsi="Times New Roman"/>
                <w:sz w:val="22"/>
                <w:szCs w:val="22"/>
                <w:lang w:val="en-US"/>
              </w:rPr>
              <w:t>8</w:t>
            </w:r>
            <w:r w:rsidRPr="00D7428E">
              <w:rPr>
                <w:rFonts w:ascii="Times New Roman" w:hAnsi="Times New Roman"/>
                <w:sz w:val="22"/>
                <w:szCs w:val="22"/>
              </w:rPr>
              <w:t>.2.</w:t>
            </w:r>
          </w:p>
        </w:tc>
        <w:tc>
          <w:tcPr>
            <w:tcW w:w="3725" w:type="dxa"/>
            <w:shd w:val="clear" w:color="auto" w:fill="auto"/>
          </w:tcPr>
          <w:p w:rsidR="002F7747" w:rsidRPr="00D7428E" w:rsidRDefault="002F7747" w:rsidP="001828B8">
            <w:pPr>
              <w:pStyle w:val="Pro-Gramma"/>
              <w:spacing w:before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7428E">
              <w:rPr>
                <w:rFonts w:ascii="Times New Roman" w:hAnsi="Times New Roman"/>
                <w:sz w:val="22"/>
                <w:szCs w:val="22"/>
              </w:rPr>
              <w:t>Количество решений налогового органа о взыскании с государственного казенного учреждения,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2F7747" w:rsidRPr="001A17C2" w:rsidRDefault="001A17C2" w:rsidP="00F809D0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highlight w:val="red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3141E">
              <w:rPr>
                <w:rFonts w:ascii="Times New Roman" w:hAnsi="Times New Roman"/>
                <w:lang w:val="en-US"/>
              </w:rPr>
              <w:t>max=0</w:t>
            </w:r>
          </w:p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3141E">
              <w:rPr>
                <w:rFonts w:ascii="Times New Roman" w:eastAsia="Calibri" w:hAnsi="Times New Roman"/>
                <w:sz w:val="22"/>
                <w:szCs w:val="22"/>
                <w:lang w:val="en-US" w:eastAsia="en-US"/>
              </w:rPr>
              <w:t>min=1</w:t>
            </w:r>
          </w:p>
        </w:tc>
        <w:tc>
          <w:tcPr>
            <w:tcW w:w="992" w:type="dxa"/>
            <w:shd w:val="clear" w:color="auto" w:fill="auto"/>
          </w:tcPr>
          <w:p w:rsidR="002F7747" w:rsidRPr="00D7428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549" w:type="dxa"/>
            <w:vMerge/>
            <w:tcBorders>
              <w:top w:val="nil"/>
              <w:bottom w:val="nil"/>
            </w:tcBorders>
            <w:shd w:val="clear" w:color="auto" w:fill="auto"/>
          </w:tcPr>
          <w:p w:rsidR="002F7747" w:rsidRPr="00D7428E" w:rsidRDefault="002F7747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3141E" w:rsidRPr="00D7428E" w:rsidTr="00AF671A">
        <w:tc>
          <w:tcPr>
            <w:tcW w:w="5070" w:type="dxa"/>
            <w:gridSpan w:val="2"/>
            <w:shd w:val="clear" w:color="auto" w:fill="auto"/>
          </w:tcPr>
          <w:p w:rsidR="00F3141E" w:rsidRPr="00F3141E" w:rsidRDefault="00F3141E" w:rsidP="00F3141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F3141E">
              <w:rPr>
                <w:rFonts w:ascii="Times New Roman" w:hAnsi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F3141E" w:rsidRPr="003849B8" w:rsidRDefault="003849B8" w:rsidP="00F809D0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  <w:highlight w:val="red"/>
                <w:lang w:val="en-US"/>
              </w:rPr>
            </w:pPr>
            <w:r w:rsidRPr="003849B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37</w:t>
            </w:r>
          </w:p>
        </w:tc>
        <w:tc>
          <w:tcPr>
            <w:tcW w:w="1276" w:type="dxa"/>
            <w:shd w:val="clear" w:color="auto" w:fill="auto"/>
          </w:tcPr>
          <w:p w:rsidR="00F3141E" w:rsidRPr="00F3141E" w:rsidRDefault="00F3141E" w:rsidP="00F3141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F3141E" w:rsidRDefault="00F3141E" w:rsidP="00F3141E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1549" w:type="dxa"/>
            <w:tcBorders>
              <w:top w:val="nil"/>
            </w:tcBorders>
            <w:shd w:val="clear" w:color="auto" w:fill="auto"/>
          </w:tcPr>
          <w:p w:rsidR="00F3141E" w:rsidRPr="00D7428E" w:rsidRDefault="00F3141E" w:rsidP="0003629E">
            <w:pPr>
              <w:pStyle w:val="Pro-Gramma"/>
              <w:spacing w:before="0" w:line="240" w:lineRule="auto"/>
              <w:ind w:left="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F7747" w:rsidRDefault="002F7747" w:rsidP="00724588">
      <w:pPr>
        <w:pStyle w:val="Pro-Gramma"/>
        <w:spacing w:before="0" w:line="240" w:lineRule="auto"/>
        <w:ind w:left="0" w:firstLine="709"/>
        <w:jc w:val="right"/>
        <w:rPr>
          <w:rFonts w:ascii="Times New Roman" w:hAnsi="Times New Roman"/>
          <w:sz w:val="24"/>
        </w:rPr>
      </w:pPr>
    </w:p>
    <w:p w:rsidR="002F7747" w:rsidRDefault="002F7747" w:rsidP="00724588">
      <w:pPr>
        <w:pStyle w:val="Pro-Gramma"/>
        <w:spacing w:before="0" w:line="240" w:lineRule="auto"/>
        <w:ind w:left="0" w:firstLine="709"/>
        <w:jc w:val="right"/>
        <w:rPr>
          <w:rFonts w:ascii="Times New Roman" w:hAnsi="Times New Roman"/>
          <w:sz w:val="24"/>
        </w:rPr>
      </w:pPr>
    </w:p>
    <w:p w:rsidR="00D34ED3" w:rsidRDefault="00D34ED3"/>
    <w:p w:rsidR="004E5E03" w:rsidRDefault="004E5E03"/>
    <w:p w:rsidR="004E5E03" w:rsidRDefault="004E5E03"/>
    <w:p w:rsidR="004E5E03" w:rsidRDefault="004E5E03"/>
    <w:p w:rsidR="004E5E03" w:rsidRDefault="004E5E03"/>
    <w:p w:rsidR="004E5E03" w:rsidRDefault="004E5E03"/>
    <w:sectPr w:rsidR="004E5E03" w:rsidSect="00D62D1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588"/>
    <w:rsid w:val="00166936"/>
    <w:rsid w:val="001828B8"/>
    <w:rsid w:val="001A17C2"/>
    <w:rsid w:val="002F7747"/>
    <w:rsid w:val="00312B8B"/>
    <w:rsid w:val="003849B8"/>
    <w:rsid w:val="00392C3B"/>
    <w:rsid w:val="00393A69"/>
    <w:rsid w:val="004E5E03"/>
    <w:rsid w:val="00724588"/>
    <w:rsid w:val="00A775F6"/>
    <w:rsid w:val="00CD0BF4"/>
    <w:rsid w:val="00D34ED3"/>
    <w:rsid w:val="00D62D1D"/>
    <w:rsid w:val="00D7428E"/>
    <w:rsid w:val="00F3141E"/>
    <w:rsid w:val="00F809D0"/>
    <w:rsid w:val="00FE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5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-Gramma">
    <w:name w:val="Pro-Gramma"/>
    <w:basedOn w:val="a"/>
    <w:link w:val="Pro-Gramma0"/>
    <w:qFormat/>
    <w:rsid w:val="00724588"/>
    <w:pPr>
      <w:spacing w:before="120" w:after="0" w:line="288" w:lineRule="auto"/>
      <w:ind w:left="1134"/>
      <w:jc w:val="both"/>
    </w:pPr>
    <w:rPr>
      <w:rFonts w:ascii="Georgia" w:eastAsia="Times New Roman" w:hAnsi="Georgia"/>
      <w:sz w:val="20"/>
      <w:szCs w:val="24"/>
      <w:lang w:eastAsia="ru-RU"/>
    </w:rPr>
  </w:style>
  <w:style w:type="character" w:customStyle="1" w:styleId="Pro-Gramma0">
    <w:name w:val="Pro-Gramma Знак"/>
    <w:link w:val="Pro-Gramma"/>
    <w:rsid w:val="00724588"/>
    <w:rPr>
      <w:rFonts w:ascii="Georgia" w:eastAsia="Times New Roman" w:hAnsi="Georgia" w:cs="Times New Roman"/>
      <w:sz w:val="20"/>
      <w:szCs w:val="24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F31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3141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5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-Gramma">
    <w:name w:val="Pro-Gramma"/>
    <w:basedOn w:val="a"/>
    <w:link w:val="Pro-Gramma0"/>
    <w:qFormat/>
    <w:rsid w:val="00724588"/>
    <w:pPr>
      <w:spacing w:before="120" w:after="0" w:line="288" w:lineRule="auto"/>
      <w:ind w:left="1134"/>
      <w:jc w:val="both"/>
    </w:pPr>
    <w:rPr>
      <w:rFonts w:ascii="Georgia" w:eastAsia="Times New Roman" w:hAnsi="Georgia"/>
      <w:sz w:val="20"/>
      <w:szCs w:val="24"/>
      <w:lang w:eastAsia="ru-RU"/>
    </w:rPr>
  </w:style>
  <w:style w:type="character" w:customStyle="1" w:styleId="Pro-Gramma0">
    <w:name w:val="Pro-Gramma Знак"/>
    <w:link w:val="Pro-Gramma"/>
    <w:rsid w:val="00724588"/>
    <w:rPr>
      <w:rFonts w:ascii="Georgia" w:eastAsia="Times New Roman" w:hAnsi="Georgia" w:cs="Times New Roman"/>
      <w:sz w:val="20"/>
      <w:szCs w:val="24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F31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3141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ocial.lenobl.ru/ru/o-komitete/podvedomstvennye-organizatsii/stacionarnye-uchrezhdeniya-socialnogo-obsluzhivaniya-naseleniya/gerontologicheskij-centr-leningradskoj-oblast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Елена Александровна</dc:creator>
  <cp:lastModifiedBy>Алексей Петрович Смирнов</cp:lastModifiedBy>
  <cp:revision>2</cp:revision>
  <dcterms:created xsi:type="dcterms:W3CDTF">2021-03-25T13:45:00Z</dcterms:created>
  <dcterms:modified xsi:type="dcterms:W3CDTF">2021-03-25T13:45:00Z</dcterms:modified>
</cp:coreProperties>
</file>