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9" w:rsidRDefault="009713A9" w:rsidP="009713A9">
      <w:pPr>
        <w:pStyle w:val="ConsPlusTitle"/>
        <w:jc w:val="center"/>
        <w:outlineLvl w:val="1"/>
      </w:pPr>
      <w:r>
        <w:t>Подпрограмма</w:t>
      </w:r>
    </w:p>
    <w:p w:rsidR="009713A9" w:rsidRDefault="009713A9" w:rsidP="009713A9">
      <w:pPr>
        <w:pStyle w:val="ConsPlusTitle"/>
        <w:jc w:val="center"/>
      </w:pPr>
      <w:r>
        <w:t>"</w:t>
      </w:r>
      <w:bookmarkStart w:id="0" w:name="_GoBack"/>
      <w:r>
        <w:t xml:space="preserve">Доступная среда </w:t>
      </w:r>
      <w:bookmarkEnd w:id="0"/>
      <w:r>
        <w:t>для инвалидов и маломобильных групп</w:t>
      </w:r>
    </w:p>
    <w:p w:rsidR="009713A9" w:rsidRDefault="009713A9" w:rsidP="009713A9">
      <w:pPr>
        <w:pStyle w:val="ConsPlusTitle"/>
        <w:jc w:val="center"/>
      </w:pPr>
      <w:r>
        <w:t>населения в Ленинградской области"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Title"/>
        <w:jc w:val="center"/>
        <w:outlineLvl w:val="2"/>
      </w:pPr>
      <w:r>
        <w:t>ПАСПОРТ</w:t>
      </w:r>
    </w:p>
    <w:p w:rsidR="009713A9" w:rsidRDefault="009713A9" w:rsidP="009713A9">
      <w:pPr>
        <w:pStyle w:val="ConsPlusTitle"/>
        <w:jc w:val="center"/>
      </w:pPr>
      <w:r>
        <w:t>подпрограммы "Доступная среда для инвалидов и маломобильных</w:t>
      </w:r>
    </w:p>
    <w:p w:rsidR="009713A9" w:rsidRDefault="009713A9" w:rsidP="009713A9">
      <w:pPr>
        <w:pStyle w:val="ConsPlusTitle"/>
        <w:jc w:val="center"/>
      </w:pPr>
      <w:r>
        <w:t>групп населения в Ленинградской области"</w:t>
      </w:r>
    </w:p>
    <w:p w:rsidR="009713A9" w:rsidRDefault="009713A9" w:rsidP="009713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</w:tr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Комитет по здравоохранению Ленинградской области;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комитет по труду и занятости населения Ленинградской области;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управление Ленинградской области по транспорту;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комитет по культуре Ленинградской области</w:t>
            </w:r>
          </w:p>
        </w:tc>
      </w:tr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Формирование доступной среды жизнедеятельности для лиц с ограниченными возможностями</w:t>
            </w:r>
          </w:p>
        </w:tc>
      </w:tr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Повышение уровня доступности приоритетных объектов и услуг для лиц с ограниченными возможностями, повышение уровня доступности жилых помещений и общего имущества в многоквартирных домах с учетом потребностей инвалидов.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</w:t>
            </w:r>
          </w:p>
        </w:tc>
      </w:tr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2019-2024 годы</w:t>
            </w: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17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both"/>
            </w:pPr>
            <w:r>
              <w:t>Общий объем финансового обеспечения подпрограммы составляет 334559,8 тыс. рублей, в том числе: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2019 год - 65219,3 тыс. рублей;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2020 год - 55773,2 тыс. рублей;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2021 год - 52115,1 тыс. рублей;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2022 год - 53817,4 тыс. рублей;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2023 год - 53817,4 тыс. рублей;</w:t>
            </w:r>
          </w:p>
          <w:p w:rsidR="009713A9" w:rsidRDefault="009713A9" w:rsidP="00BE792B">
            <w:pPr>
              <w:pStyle w:val="ConsPlusNormal"/>
              <w:jc w:val="both"/>
            </w:pPr>
            <w:r>
              <w:t>2024 год - 53817,4 тыс. рублей</w:t>
            </w: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713A9" w:rsidRDefault="009713A9" w:rsidP="00BE792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657)</w:t>
            </w:r>
          </w:p>
        </w:tc>
      </w:tr>
      <w:tr w:rsidR="009713A9" w:rsidTr="00BE792B">
        <w:tc>
          <w:tcPr>
            <w:tcW w:w="2154" w:type="dxa"/>
          </w:tcPr>
          <w:p w:rsidR="009713A9" w:rsidRDefault="009713A9" w:rsidP="00BE792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917" w:type="dxa"/>
          </w:tcPr>
          <w:p w:rsidR="009713A9" w:rsidRDefault="009713A9" w:rsidP="00BE792B">
            <w:pPr>
              <w:pStyle w:val="ConsPlusNormal"/>
              <w:jc w:val="both"/>
            </w:pPr>
            <w:r>
              <w:t>К 2024 году:</w:t>
            </w:r>
          </w:p>
          <w:p w:rsidR="009713A9" w:rsidRDefault="009713A9" w:rsidP="00BE792B">
            <w:pPr>
              <w:pStyle w:val="ConsPlusNormal"/>
              <w:jc w:val="both"/>
            </w:pPr>
            <w:proofErr w:type="gramStart"/>
            <w:r>
              <w:t xml:space="preserve">увеличение доли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услуг, а также </w:t>
            </w:r>
            <w:r>
              <w:lastRenderedPageBreak/>
              <w:t>доли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жилых помещений, до 100 проц.;</w:t>
            </w:r>
            <w:proofErr w:type="gramEnd"/>
          </w:p>
          <w:p w:rsidR="009713A9" w:rsidRDefault="009713A9" w:rsidP="00BE792B">
            <w:pPr>
              <w:pStyle w:val="ConsPlusNormal"/>
              <w:jc w:val="both"/>
            </w:pPr>
            <w: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 до 65 проц.</w:t>
            </w:r>
          </w:p>
        </w:tc>
      </w:tr>
    </w:tbl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9713A9" w:rsidRDefault="009713A9" w:rsidP="009713A9">
      <w:pPr>
        <w:pStyle w:val="ConsPlusTitle"/>
        <w:jc w:val="center"/>
      </w:pPr>
      <w:r>
        <w:t>подпрограммы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Normal"/>
        <w:ind w:firstLine="540"/>
        <w:jc w:val="both"/>
      </w:pPr>
      <w:r>
        <w:t xml:space="preserve">В 2012 году Российская Федерация ратифицировала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ООН о правах инвалидов от 13 декабря 2006 года (далее - Конвенция), что является показателем готовности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Задачами подпрограммы являются: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1) повышение уровня доступности приоритетных объектов и услуг для лиц с ограниченными возможностями, повышение уровня доступности жилых помещений и общего имущества в многоквартирных домах с учетом потребностей инвалидов.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Приоритетными сферами жизнедеятельности инвалидов и других маломобильных групп населения для целей подпрограммы определены здравоохранение, культура, транспортная и пешеходная инфраструктура, информация и связь, образование, социальная защита, занятость, спорт и физическая культура.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proofErr w:type="gramStart"/>
      <w:r>
        <w:t>Решение задачи будет обеспечено путем приспособления жилых помещений и общего имущества в многоквартирных домах с учетом потребностей инвалидов -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проживающего в этом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помещению;</w:t>
      </w:r>
      <w:proofErr w:type="gramEnd"/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lastRenderedPageBreak/>
        <w:t xml:space="preserve">2) формирование условий для просвещенности граждан в вопросах инвалидности и устранения </w:t>
      </w:r>
      <w:proofErr w:type="spellStart"/>
      <w:r>
        <w:t>отношенческих</w:t>
      </w:r>
      <w:proofErr w:type="spellEnd"/>
      <w:r>
        <w:t xml:space="preserve"> барьеров.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proofErr w:type="gramStart"/>
      <w:r>
        <w:t>В целях формирования позитивного отношения к проблеме обеспечения доступной среды жизнедеятельности для инвалидов, формирования мнения об инвалидах как о равных членах общества, исключения проявления дискриминации по признаку инвалидности,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кампаний, "круглых столов", семинаров.</w:t>
      </w:r>
      <w:proofErr w:type="gramEnd"/>
      <w:r>
        <w:t xml:space="preserve"> На официальном сайте комитета по социальной защите населения Ленинградской области создан раздел "Доступная среда".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Ожидаемыми результатами реализации подпрограммы являются: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proofErr w:type="gramStart"/>
      <w:r>
        <w:t>1) увеличение доли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услуг, а также доли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жилых помещений, до 100 проц.;</w:t>
      </w:r>
      <w:proofErr w:type="gramEnd"/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 xml:space="preserve">2) увеличение доли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Ленинградской области до 65 проц.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Title"/>
        <w:jc w:val="center"/>
        <w:outlineLvl w:val="2"/>
      </w:pPr>
      <w:r>
        <w:t>2. Характеристика основных мероприятий</w:t>
      </w:r>
    </w:p>
    <w:p w:rsidR="009713A9" w:rsidRDefault="009713A9" w:rsidP="009713A9">
      <w:pPr>
        <w:pStyle w:val="ConsPlusTitle"/>
        <w:jc w:val="center"/>
      </w:pPr>
      <w:r>
        <w:t>и проектов подпрограммы</w:t>
      </w:r>
    </w:p>
    <w:p w:rsidR="009713A9" w:rsidRDefault="009713A9" w:rsidP="009713A9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713A9" w:rsidRDefault="009713A9" w:rsidP="009713A9">
      <w:pPr>
        <w:pStyle w:val="ConsPlusNormal"/>
        <w:jc w:val="center"/>
      </w:pPr>
      <w:r>
        <w:t>от 30.12.2019 N 657)</w:t>
      </w:r>
    </w:p>
    <w:p w:rsidR="009713A9" w:rsidRDefault="009713A9" w:rsidP="009713A9">
      <w:pPr>
        <w:pStyle w:val="ConsPlusNormal"/>
        <w:jc w:val="center"/>
      </w:pPr>
    </w:p>
    <w:p w:rsidR="009713A9" w:rsidRDefault="009713A9" w:rsidP="009713A9">
      <w:pPr>
        <w:pStyle w:val="ConsPlusTitle"/>
        <w:jc w:val="center"/>
        <w:outlineLvl w:val="3"/>
      </w:pPr>
      <w:r>
        <w:t>2.1. Основное мероприятие "Мероприятия по приспособлению</w:t>
      </w:r>
    </w:p>
    <w:p w:rsidR="009713A9" w:rsidRDefault="009713A9" w:rsidP="009713A9">
      <w:pPr>
        <w:pStyle w:val="ConsPlusTitle"/>
        <w:jc w:val="center"/>
      </w:pPr>
      <w:r>
        <w:t>объектов для доступа инвалидов и маломобильных групп</w:t>
      </w:r>
    </w:p>
    <w:p w:rsidR="009713A9" w:rsidRDefault="009713A9" w:rsidP="009713A9">
      <w:pPr>
        <w:pStyle w:val="ConsPlusTitle"/>
        <w:jc w:val="center"/>
      </w:pPr>
      <w:r>
        <w:t>населения"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продолжение работы по обследованию и паспортизации объектов социальной инфраструктуры и услуг в приоритетных для инвалидов сферах жизнедеятельности;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продолжение работы по обследованию жилых помещений в целях приспособления с учетом потребностей инвалидов;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работы по приспособлению жилых помещений и общего имущества в многоквартирных домах с учетом потребностей инвалидов;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разработка, формирование и обновление карты доступности объектов и услуг Ленинградской области;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населения.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proofErr w:type="gramStart"/>
      <w:r>
        <w:t xml:space="preserve">В рамках реализации мероприятия бюджетам муниципальных образований Ленинградской области предоставляются субсидии на </w:t>
      </w:r>
      <w:proofErr w:type="spellStart"/>
      <w:r>
        <w:t>софинансирование</w:t>
      </w:r>
      <w:proofErr w:type="spellEnd"/>
      <w:r>
        <w:t xml:space="preserve"> расходных </w:t>
      </w:r>
      <w:r>
        <w:lastRenderedPageBreak/>
        <w:t xml:space="preserve">обязательств муниципальных образований по организации благоустройства на территории муниципального образования, возникающих при выполнении полномочий органов местного самоуправления по вопросам местного значения,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в соответствии с </w:t>
      </w:r>
      <w:hyperlink w:anchor="P4392" w:history="1">
        <w:r>
          <w:rPr>
            <w:color w:val="0000FF"/>
          </w:rPr>
          <w:t>Порядком</w:t>
        </w:r>
      </w:hyperlink>
      <w:r>
        <w:t xml:space="preserve"> предоставления</w:t>
      </w:r>
      <w:proofErr w:type="gramEnd"/>
      <w:r>
        <w:t xml:space="preserve">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"Доступная среда для инвалидов и маломобильных групп населения в Ленинградской области" (приложение 5 к государственной программе).</w:t>
      </w:r>
    </w:p>
    <w:p w:rsidR="009713A9" w:rsidRDefault="009713A9" w:rsidP="009713A9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30.12.2019 N 657)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Title"/>
        <w:jc w:val="center"/>
        <w:outlineLvl w:val="3"/>
      </w:pPr>
      <w:r>
        <w:t>2.2. Основное мероприятие "Информационно-методическое</w:t>
      </w:r>
    </w:p>
    <w:p w:rsidR="009713A9" w:rsidRDefault="009713A9" w:rsidP="009713A9">
      <w:pPr>
        <w:pStyle w:val="ConsPlusTitle"/>
        <w:jc w:val="center"/>
      </w:pPr>
      <w:r>
        <w:t>обеспечение деятельности специалистов"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>проведение семинаров для работников учреждений социальной защиты населения по вопросам формирования доступной среды жизнедеятельности для инвалидов;</w:t>
      </w:r>
    </w:p>
    <w:p w:rsidR="009713A9" w:rsidRDefault="009713A9" w:rsidP="009713A9">
      <w:pPr>
        <w:pStyle w:val="ConsPlusNormal"/>
        <w:spacing w:before="240"/>
        <w:ind w:firstLine="540"/>
        <w:jc w:val="both"/>
      </w:pPr>
      <w:r>
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>
        <w:t>неслышащих</w:t>
      </w:r>
      <w:proofErr w:type="spellEnd"/>
      <w: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>
        <w:t>тифлокомментаторов</w:t>
      </w:r>
      <w:proofErr w:type="spellEnd"/>
      <w:r>
        <w:t>.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Normal"/>
        <w:jc w:val="right"/>
        <w:outlineLvl w:val="4"/>
      </w:pPr>
      <w:r>
        <w:t>Таблица</w:t>
      </w:r>
    </w:p>
    <w:p w:rsidR="009713A9" w:rsidRDefault="009713A9" w:rsidP="009713A9">
      <w:pPr>
        <w:pStyle w:val="ConsPlusNormal"/>
      </w:pPr>
    </w:p>
    <w:p w:rsidR="009713A9" w:rsidRDefault="009713A9" w:rsidP="009713A9">
      <w:pPr>
        <w:pStyle w:val="ConsPlusTitle"/>
        <w:jc w:val="center"/>
      </w:pPr>
      <w:r>
        <w:t>Показатели реализации основных мероприятий подпрограммы</w:t>
      </w:r>
    </w:p>
    <w:p w:rsidR="009713A9" w:rsidRDefault="009713A9" w:rsidP="009713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35"/>
        <w:gridCol w:w="1077"/>
        <w:gridCol w:w="724"/>
        <w:gridCol w:w="604"/>
        <w:gridCol w:w="664"/>
        <w:gridCol w:w="664"/>
        <w:gridCol w:w="664"/>
        <w:gridCol w:w="664"/>
        <w:gridCol w:w="664"/>
      </w:tblGrid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gridSpan w:val="2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24" w:type="dxa"/>
            <w:gridSpan w:val="6"/>
          </w:tcPr>
          <w:p w:rsidR="009713A9" w:rsidRDefault="009713A9" w:rsidP="00BE792B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3912" w:type="dxa"/>
            <w:gridSpan w:val="2"/>
            <w:vMerge/>
          </w:tcPr>
          <w:p w:rsidR="009713A9" w:rsidRDefault="009713A9" w:rsidP="00BE792B"/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2024 год</w:t>
            </w:r>
          </w:p>
        </w:tc>
      </w:tr>
      <w:tr w:rsidR="009713A9" w:rsidTr="00BE792B">
        <w:tc>
          <w:tcPr>
            <w:tcW w:w="460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gridSpan w:val="2"/>
          </w:tcPr>
          <w:p w:rsidR="009713A9" w:rsidRDefault="009713A9" w:rsidP="00BE7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</w:t>
            </w: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80,2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 xml:space="preserve">Доля приоритетных объектов органов службы </w:t>
            </w:r>
            <w:r>
              <w:lastRenderedPageBreak/>
              <w:t>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57,1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63,2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713A9" w:rsidRDefault="009713A9" w:rsidP="00BE792B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34,5</w:t>
            </w: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9713A9" w:rsidRDefault="009713A9" w:rsidP="00BE792B"/>
        </w:tc>
        <w:tc>
          <w:tcPr>
            <w:tcW w:w="2835" w:type="dxa"/>
            <w:vMerge/>
            <w:tcBorders>
              <w:bottom w:val="nil"/>
            </w:tcBorders>
          </w:tcPr>
          <w:p w:rsidR="009713A9" w:rsidRDefault="009713A9" w:rsidP="00BE792B"/>
        </w:tc>
        <w:tc>
          <w:tcPr>
            <w:tcW w:w="1077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  <w:tcBorders>
              <w:bottom w:val="nil"/>
            </w:tcBorders>
          </w:tcPr>
          <w:p w:rsidR="009713A9" w:rsidRDefault="009713A9" w:rsidP="00BE792B"/>
        </w:tc>
        <w:tc>
          <w:tcPr>
            <w:tcW w:w="60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9020" w:type="dxa"/>
            <w:gridSpan w:val="10"/>
            <w:tcBorders>
              <w:top w:val="nil"/>
            </w:tcBorders>
          </w:tcPr>
          <w:p w:rsidR="009713A9" w:rsidRDefault="009713A9" w:rsidP="00BE792B">
            <w:pPr>
              <w:pStyle w:val="ConsPlusNormal"/>
              <w:jc w:val="both"/>
            </w:pPr>
            <w:r>
              <w:t xml:space="preserve">(п. 4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657)</w:t>
            </w: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29,2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50,0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 xml:space="preserve">Доля образовательных организаций дополнительного образования,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40,4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100,0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</w:t>
            </w:r>
            <w:r>
              <w:lastRenderedPageBreak/>
              <w:t>объектов в сфере культуры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60,6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713A9" w:rsidRDefault="009713A9" w:rsidP="00BE792B">
            <w:pPr>
              <w:pStyle w:val="ConsPlusNormal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11,8</w:t>
            </w: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9713A9" w:rsidRDefault="009713A9" w:rsidP="00BE792B"/>
        </w:tc>
        <w:tc>
          <w:tcPr>
            <w:tcW w:w="2835" w:type="dxa"/>
            <w:vMerge/>
            <w:tcBorders>
              <w:bottom w:val="nil"/>
            </w:tcBorders>
          </w:tcPr>
          <w:p w:rsidR="009713A9" w:rsidRDefault="009713A9" w:rsidP="00BE792B"/>
        </w:tc>
        <w:tc>
          <w:tcPr>
            <w:tcW w:w="1077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  <w:tcBorders>
              <w:bottom w:val="nil"/>
            </w:tcBorders>
          </w:tcPr>
          <w:p w:rsidR="009713A9" w:rsidRDefault="009713A9" w:rsidP="00BE792B"/>
        </w:tc>
        <w:tc>
          <w:tcPr>
            <w:tcW w:w="60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9020" w:type="dxa"/>
            <w:gridSpan w:val="10"/>
            <w:tcBorders>
              <w:top w:val="nil"/>
            </w:tcBorders>
          </w:tcPr>
          <w:p w:rsidR="009713A9" w:rsidRDefault="009713A9" w:rsidP="00BE792B">
            <w:pPr>
              <w:pStyle w:val="ConsPlusNormal"/>
              <w:jc w:val="both"/>
            </w:pPr>
            <w:r>
              <w:t xml:space="preserve">(п. 12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657)</w:t>
            </w:r>
          </w:p>
        </w:tc>
      </w:tr>
      <w:tr w:rsidR="009713A9" w:rsidTr="00BE792B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0" w:type="dxa"/>
            <w:gridSpan w:val="9"/>
            <w:tcBorders>
              <w:bottom w:val="nil"/>
            </w:tcBorders>
          </w:tcPr>
          <w:p w:rsidR="009713A9" w:rsidRDefault="009713A9" w:rsidP="00BE792B">
            <w:pPr>
              <w:pStyle w:val="ConsPlusNormal"/>
              <w:jc w:val="both"/>
            </w:pPr>
            <w:r>
              <w:t xml:space="preserve">Утратил силу с 30 декабря 2019 года.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30.12.2019 N 657</w:t>
            </w: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лиц с ограниченными возможностями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69,0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57,3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  <w:tr w:rsidR="009713A9" w:rsidTr="00BE792B">
        <w:tc>
          <w:tcPr>
            <w:tcW w:w="460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9713A9" w:rsidRDefault="009713A9" w:rsidP="00BE792B">
            <w:pPr>
              <w:pStyle w:val="ConsPlusNormal"/>
            </w:pPr>
            <w:r>
              <w:t xml:space="preserve"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</w:t>
            </w:r>
            <w:r>
              <w:lastRenderedPageBreak/>
              <w:t>Ленинградской области</w:t>
            </w:r>
          </w:p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24" w:type="dxa"/>
            <w:vMerge w:val="restart"/>
          </w:tcPr>
          <w:p w:rsidR="009713A9" w:rsidRDefault="009713A9" w:rsidP="00BE792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  <w:jc w:val="center"/>
            </w:pPr>
            <w:r>
              <w:t>95,0</w:t>
            </w:r>
          </w:p>
        </w:tc>
      </w:tr>
      <w:tr w:rsidR="009713A9" w:rsidTr="00BE792B">
        <w:tc>
          <w:tcPr>
            <w:tcW w:w="460" w:type="dxa"/>
            <w:vMerge/>
          </w:tcPr>
          <w:p w:rsidR="009713A9" w:rsidRDefault="009713A9" w:rsidP="00BE792B"/>
        </w:tc>
        <w:tc>
          <w:tcPr>
            <w:tcW w:w="2835" w:type="dxa"/>
            <w:vMerge/>
          </w:tcPr>
          <w:p w:rsidR="009713A9" w:rsidRDefault="009713A9" w:rsidP="00BE792B"/>
        </w:tc>
        <w:tc>
          <w:tcPr>
            <w:tcW w:w="1077" w:type="dxa"/>
          </w:tcPr>
          <w:p w:rsidR="009713A9" w:rsidRDefault="009713A9" w:rsidP="00BE792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9713A9" w:rsidRDefault="009713A9" w:rsidP="00BE792B"/>
        </w:tc>
        <w:tc>
          <w:tcPr>
            <w:tcW w:w="60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  <w:tc>
          <w:tcPr>
            <w:tcW w:w="664" w:type="dxa"/>
          </w:tcPr>
          <w:p w:rsidR="009713A9" w:rsidRDefault="009713A9" w:rsidP="00BE792B">
            <w:pPr>
              <w:pStyle w:val="ConsPlusNormal"/>
            </w:pPr>
          </w:p>
        </w:tc>
      </w:tr>
    </w:tbl>
    <w:p w:rsidR="009713A9" w:rsidRDefault="009713A9" w:rsidP="009713A9">
      <w:pPr>
        <w:pStyle w:val="ConsPlusNormal"/>
      </w:pPr>
    </w:p>
    <w:p w:rsidR="008A12BB" w:rsidRDefault="009713A9"/>
    <w:sectPr w:rsidR="008A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9"/>
    <w:rsid w:val="00010FBC"/>
    <w:rsid w:val="001A52A4"/>
    <w:rsid w:val="00274C7A"/>
    <w:rsid w:val="003D3449"/>
    <w:rsid w:val="004C1D48"/>
    <w:rsid w:val="00553672"/>
    <w:rsid w:val="00645BEA"/>
    <w:rsid w:val="00653234"/>
    <w:rsid w:val="0067676B"/>
    <w:rsid w:val="006D30DE"/>
    <w:rsid w:val="006D6665"/>
    <w:rsid w:val="00824ED2"/>
    <w:rsid w:val="008B4C23"/>
    <w:rsid w:val="00921015"/>
    <w:rsid w:val="009713A9"/>
    <w:rsid w:val="00985E08"/>
    <w:rsid w:val="009B16C5"/>
    <w:rsid w:val="00A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1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1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125D0C0A0560910D8A0129EF72CCD4606DCC1CF3DA8F75075BEB6A98BBF3B0E8333BE105F33F5A6AA83389EE0EA6D90E21899F76FF8DCSDd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125D0C0A0560910D8A0129EF72CCD4606DCC1CF3DA8F75075BEB6A98BBF3B0E8333BE105F33F5A0AA83389EE0EA6D90E21899F76FF8DCSDdC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125D0C0A0560910D8BA0C88F72CCD4703DBC9CE30F5FD582CB2B4AE84E03E099233BE124132FEBCA3D76BSDdAP" TargetMode="External"/><Relationship Id="rId11" Type="http://schemas.openxmlformats.org/officeDocument/2006/relationships/hyperlink" Target="consultantplus://offline/ref=502125D0C0A0560910D8A0129EF72CCD4606DCC1CF3DA8F75075BEB6A98BBF3B0E8333BE105F33F0A7AA83389EE0EA6D90E21899F76FF8DCSDdCP" TargetMode="External"/><Relationship Id="rId5" Type="http://schemas.openxmlformats.org/officeDocument/2006/relationships/hyperlink" Target="consultantplus://offline/ref=502125D0C0A0560910D8A0129EF72CCD4606DCC1CF3DA8F75075BEB6A98BBF3B0E8333BE105F33F4A0AA83389EE0EA6D90E21899F76FF8DCSDdCP" TargetMode="External"/><Relationship Id="rId10" Type="http://schemas.openxmlformats.org/officeDocument/2006/relationships/hyperlink" Target="consultantplus://offline/ref=502125D0C0A0560910D8A0129EF72CCD4606DCC1CF3DA8F75075BEB6A98BBF3B0E8333BE105F33F3A3AA83389EE0EA6D90E21899F76FF8DCSDd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125D0C0A0560910D8A0129EF72CCD4606DCC1CF3DA8F75075BEB6A98BBF3B0E8333BE105F33F5A5AA83389EE0EA6D90E21899F76FF8DCSDd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Дмитрий Александрович</dc:creator>
  <cp:lastModifiedBy>Лебедев Дмитрий Александрович</cp:lastModifiedBy>
  <cp:revision>1</cp:revision>
  <dcterms:created xsi:type="dcterms:W3CDTF">2020-08-12T15:45:00Z</dcterms:created>
  <dcterms:modified xsi:type="dcterms:W3CDTF">2020-08-12T15:45:00Z</dcterms:modified>
</cp:coreProperties>
</file>