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AE" w:rsidRDefault="00241FAE" w:rsidP="00241FAE">
      <w:pPr>
        <w:pStyle w:val="ConsPlusTitle"/>
        <w:jc w:val="center"/>
        <w:outlineLvl w:val="1"/>
      </w:pPr>
      <w:r>
        <w:t>Подпрограмма</w:t>
      </w:r>
    </w:p>
    <w:p w:rsidR="00241FAE" w:rsidRDefault="00241FAE" w:rsidP="00241FAE">
      <w:pPr>
        <w:pStyle w:val="ConsPlusTitle"/>
        <w:jc w:val="center"/>
      </w:pPr>
      <w:r>
        <w:t>"</w:t>
      </w:r>
      <w:bookmarkStart w:id="0" w:name="_GoBack"/>
      <w:r>
        <w:t>Развитие системы социального обслуживания</w:t>
      </w:r>
      <w:bookmarkEnd w:id="0"/>
      <w:r>
        <w:t>"</w:t>
      </w:r>
    </w:p>
    <w:p w:rsidR="00241FAE" w:rsidRDefault="00241FAE" w:rsidP="00241FAE">
      <w:pPr>
        <w:pStyle w:val="ConsPlusNormal"/>
      </w:pPr>
    </w:p>
    <w:p w:rsidR="00241FAE" w:rsidRDefault="00241FAE" w:rsidP="00241FAE">
      <w:pPr>
        <w:pStyle w:val="ConsPlusTitle"/>
        <w:jc w:val="center"/>
        <w:outlineLvl w:val="2"/>
      </w:pPr>
      <w:r>
        <w:t>ПАСПОРТ</w:t>
      </w:r>
    </w:p>
    <w:p w:rsidR="00241FAE" w:rsidRDefault="00241FAE" w:rsidP="00241FAE">
      <w:pPr>
        <w:pStyle w:val="ConsPlusTitle"/>
        <w:jc w:val="center"/>
      </w:pPr>
      <w:r>
        <w:t>подпрограммы "Развитие системы социального обслуживания"</w:t>
      </w:r>
    </w:p>
    <w:p w:rsidR="00241FAE" w:rsidRDefault="00241FAE" w:rsidP="00241FA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Подпрограмма "Развитие системы социального обслуживания"</w:t>
            </w:r>
          </w:p>
        </w:tc>
      </w:tr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</w:tr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241FAE" w:rsidTr="00BE79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41FAE" w:rsidRDefault="00241FAE" w:rsidP="00BE792B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241FAE" w:rsidRDefault="00241FAE" w:rsidP="00BE792B">
            <w:pPr>
              <w:pStyle w:val="ConsPlusNormal"/>
              <w:jc w:val="both"/>
            </w:pPr>
            <w:r>
              <w:t>Федеральный проект "Старшее поколение"</w:t>
            </w:r>
          </w:p>
        </w:tc>
      </w:tr>
      <w:tr w:rsidR="00241FAE" w:rsidTr="00BE79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41FAE" w:rsidRDefault="00241FAE" w:rsidP="00BE792B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657)</w:t>
            </w:r>
          </w:p>
        </w:tc>
      </w:tr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Повышение доступности и качества социальных услуг в Ленинградской области</w:t>
            </w:r>
          </w:p>
        </w:tc>
      </w:tr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Обеспечение потребностей граждан в социальном обслуживании.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Развитие конкуренции в сфере социального обслуживания населения.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Повышение уровня материально-технического обеспечения учреждений социального обслуживания.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Создание сбалансированной системы учреждений долговременного ухода</w:t>
            </w:r>
          </w:p>
        </w:tc>
      </w:tr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2019-2024 годы</w:t>
            </w:r>
          </w:p>
        </w:tc>
      </w:tr>
      <w:tr w:rsidR="00241FAE" w:rsidTr="00BE79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41FAE" w:rsidRDefault="00241FAE" w:rsidP="00BE792B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520" w:type="dxa"/>
            <w:tcBorders>
              <w:bottom w:val="nil"/>
            </w:tcBorders>
          </w:tcPr>
          <w:p w:rsidR="00241FAE" w:rsidRDefault="00241FAE" w:rsidP="00BE792B">
            <w:pPr>
              <w:pStyle w:val="ConsPlusNormal"/>
              <w:jc w:val="both"/>
            </w:pPr>
            <w:r>
              <w:t>Общий объем финансового обеспечения подпрограммы составляет 32083114,6 тыс. рублей, в том числе: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2019 год - 4793614,8 тыс. рублей;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2020 год - 4998439,9 тыс. рублей;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2021 год - 5180602,8 тыс. рублей;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2022 год - 5703485,7 тыс. рублей;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2023 год - 5703485,7 тыс. рублей;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2024 год - 5703485,7 тыс. рублей</w:t>
            </w:r>
          </w:p>
        </w:tc>
      </w:tr>
      <w:tr w:rsidR="00241FAE" w:rsidTr="00BE79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41FAE" w:rsidRDefault="00241FAE" w:rsidP="00BE792B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657)</w:t>
            </w:r>
          </w:p>
        </w:tc>
      </w:tr>
      <w:tr w:rsidR="00241FAE" w:rsidTr="00BE792B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241FAE" w:rsidRDefault="00241FAE" w:rsidP="00BE792B">
            <w:pPr>
              <w:pStyle w:val="ConsPlusNormal"/>
            </w:pPr>
            <w:r>
              <w:t xml:space="preserve">Финансовое обеспечение проектов, реализуемых в рамках подпрограммы, - всего, в том числе по годам </w:t>
            </w:r>
            <w:r>
              <w:lastRenderedPageBreak/>
              <w:t>реализации</w:t>
            </w:r>
          </w:p>
        </w:tc>
        <w:tc>
          <w:tcPr>
            <w:tcW w:w="6520" w:type="dxa"/>
            <w:tcBorders>
              <w:bottom w:val="nil"/>
            </w:tcBorders>
          </w:tcPr>
          <w:p w:rsidR="00241FAE" w:rsidRDefault="00241FAE" w:rsidP="00BE792B">
            <w:pPr>
              <w:pStyle w:val="ConsPlusNormal"/>
              <w:jc w:val="both"/>
            </w:pPr>
            <w:r>
              <w:lastRenderedPageBreak/>
              <w:t>Общий объем финансового обеспечения проектов, реализуемых в рамках подпрограммы, составляет 41800,0 тыс. рублей, том числе: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2019 год - 41800,0 тыс. рублей</w:t>
            </w:r>
          </w:p>
        </w:tc>
      </w:tr>
      <w:tr w:rsidR="00241FAE" w:rsidTr="00BE79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41FAE" w:rsidRDefault="00241FAE" w:rsidP="00BE792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657)</w:t>
            </w:r>
          </w:p>
        </w:tc>
      </w:tr>
      <w:tr w:rsidR="00241FAE" w:rsidTr="00BE792B">
        <w:tc>
          <w:tcPr>
            <w:tcW w:w="2551" w:type="dxa"/>
          </w:tcPr>
          <w:p w:rsidR="00241FAE" w:rsidRDefault="00241FAE" w:rsidP="00BE792B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241FAE" w:rsidRDefault="00241FAE" w:rsidP="00BE792B">
            <w:pPr>
              <w:pStyle w:val="ConsPlusNormal"/>
              <w:jc w:val="both"/>
            </w:pPr>
            <w:r>
              <w:t>К 2024 году: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до 100 проц.;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увеличение доли негосударственных организаций в общем количестве учреждений всех форм собственности, оказывающих социальные услуги, до 50 проц.;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 xml:space="preserve">снижение удельного </w:t>
            </w:r>
            <w:proofErr w:type="gramStart"/>
            <w:r>
              <w:t>веса жилых зданий стационарных учреждений социального обслуживания граждан пожилого возраста</w:t>
            </w:r>
            <w:proofErr w:type="gramEnd"/>
            <w:r>
              <w:t xml:space="preserve"> и инвалидов, подлежащих ремонту, в общем количестве жилых зданий стационарных учреждений социального обслуживания граждан пожилого возраста и инвалидов до 2,6 проц.;</w:t>
            </w:r>
          </w:p>
          <w:p w:rsidR="00241FAE" w:rsidRDefault="00241FAE" w:rsidP="00BE792B">
            <w:pPr>
              <w:pStyle w:val="ConsPlusNormal"/>
              <w:jc w:val="both"/>
            </w:pPr>
            <w:r>
              <w:t>увеличение численности охваченных социальным обслуживанием пожилых граждан и инвалидов, нуждающихся в социальном обслуживании, на 37,4 проц. по отношению к 2017 году</w:t>
            </w:r>
          </w:p>
        </w:tc>
      </w:tr>
    </w:tbl>
    <w:p w:rsidR="00241FAE" w:rsidRDefault="00241FAE" w:rsidP="00241FAE">
      <w:pPr>
        <w:pStyle w:val="ConsPlusNormal"/>
      </w:pPr>
    </w:p>
    <w:p w:rsidR="00241FAE" w:rsidRDefault="00241FAE" w:rsidP="00241FAE">
      <w:pPr>
        <w:pStyle w:val="ConsPlusTitle"/>
        <w:jc w:val="center"/>
        <w:outlineLvl w:val="2"/>
      </w:pPr>
      <w:r>
        <w:t>1. Обоснование цели, задач и ожидаемых результатов</w:t>
      </w:r>
    </w:p>
    <w:p w:rsidR="00241FAE" w:rsidRDefault="00241FAE" w:rsidP="00241FAE">
      <w:pPr>
        <w:pStyle w:val="ConsPlusTitle"/>
        <w:jc w:val="center"/>
      </w:pPr>
      <w:r>
        <w:t>подпрограммы</w:t>
      </w:r>
    </w:p>
    <w:p w:rsidR="00241FAE" w:rsidRDefault="00241FAE" w:rsidP="00241FAE">
      <w:pPr>
        <w:pStyle w:val="ConsPlusNormal"/>
      </w:pPr>
    </w:p>
    <w:p w:rsidR="00241FAE" w:rsidRDefault="00241FAE" w:rsidP="00241FA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Концепцией</w:t>
        </w:r>
      </w:hyperlink>
      <w: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года N 1618-р,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</w:t>
      </w:r>
      <w:proofErr w:type="gramEnd"/>
      <w:r>
        <w:t xml:space="preserve"> благополучия, ответственного </w:t>
      </w:r>
      <w:proofErr w:type="spellStart"/>
      <w:r>
        <w:t>родительства</w:t>
      </w:r>
      <w:proofErr w:type="spellEnd"/>
      <w:r>
        <w:t>, повышения авторитета родителей в семье и обществе и поддержания социальной устойчивости каждой семьи.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Мероприятия подпрограммы направлены на достижение целей и задач, установленных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и национальным проектом "Демография".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Целью подпрограммы является создание условий для повышения доступности и качества социального обслуживания населения в Ленинградской области.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Задачами подпрограммы являются: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1) обеспечение потребностей граждан в социальном обслуживании посредством: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организации деятельности подведомственных государственных учреждений социального обслуживания населения,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оптимизации структуры и штатной численности учреждений социального обслуживания населения на основе укрупнения учреждений, увеличения территорий </w:t>
      </w:r>
      <w:r>
        <w:lastRenderedPageBreak/>
        <w:t xml:space="preserve">обслуживания, сокращения неэффективных, </w:t>
      </w:r>
      <w:proofErr w:type="spellStart"/>
      <w:r>
        <w:t>маловостребованных</w:t>
      </w:r>
      <w:proofErr w:type="spellEnd"/>
      <w:r>
        <w:t xml:space="preserve"> гражданами социальных услуг, непрофильных подразделений в целях высвобождения средств на повышение оплаты труда социальных и педагогических работников, среднего медицинского персонала,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сокращения численности работников, занятых в системе социального обслуживания населения (преимущественно работников административно-хозяйственного управления),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создания сбалансированной системы учреждений долговременного ухода;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2) развитие конкуренции в сфере социального обслуживания населения посредством: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вовлечения негосударственных организаций в предоставление социальных услуг,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установления единой методики расчета тарифов на социальные услуги для государственных и негосударственных поставщиков социальных услуг,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развития рынка социальных услуг;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3) повышение уровня материально-технического обеспечения учреждений социального обслуживания посредством: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укрепления материально-технической базы государственных стационарных учреждений социального обслуживания Ленинградской области,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обеспечения выполнения требований законодательства в сфере санитарной и пожарной безопасности;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4) создание сбалансированной системы учреждений долговременного ухода (</w:t>
      </w:r>
      <w:proofErr w:type="gramStart"/>
      <w:r>
        <w:t>включающая</w:t>
      </w:r>
      <w:proofErr w:type="gramEnd"/>
      <w:r>
        <w:t xml:space="preserve"> стационары с интенсивным уходом и реабилитацией и полустационары в форме дневных центров, надомное обслуживание).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Ожидаемыми результатами реализации подпрограммы являются: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1) сохранение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до 100 проц.;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2) увеличение доли негосударственных организаций в общем количестве учреждений всех форм собственности, оказывающих социальные услуги, до 50 проц.;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3) снижение удельного веса жилых зданий (корпусов) стационарных учреждений социального обслуживания граждан пожилого возраста и инвалидов (взрослых и детей), подлежащих ремонту, в общем количестве жилых зданий (корпусов) стационарных учреждений социального обслуживания граждан пожилого возраста и инвалидов (взрослых и детей) до 2,6 проц.;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4) увеличение численности охваченных социальным обслуживанием пожилых граждан и инвалидов, нуждающихся в социальном обслуживании, до 37,4 проц. по отношению к 2017 году.</w:t>
      </w:r>
    </w:p>
    <w:p w:rsidR="00241FAE" w:rsidRDefault="00241FAE" w:rsidP="00241FAE">
      <w:pPr>
        <w:pStyle w:val="ConsPlusNormal"/>
      </w:pPr>
    </w:p>
    <w:p w:rsidR="00241FAE" w:rsidRDefault="00241FAE" w:rsidP="00241FAE">
      <w:pPr>
        <w:pStyle w:val="ConsPlusTitle"/>
        <w:jc w:val="center"/>
        <w:outlineLvl w:val="2"/>
      </w:pPr>
      <w:r>
        <w:lastRenderedPageBreak/>
        <w:t>2. Характеристика основных мероприятий и проектов</w:t>
      </w:r>
    </w:p>
    <w:p w:rsidR="00241FAE" w:rsidRDefault="00241FAE" w:rsidP="00241FAE">
      <w:pPr>
        <w:pStyle w:val="ConsPlusTitle"/>
        <w:jc w:val="center"/>
      </w:pPr>
      <w:r>
        <w:t>подпрограммы</w:t>
      </w:r>
    </w:p>
    <w:p w:rsidR="00241FAE" w:rsidRDefault="00241FAE" w:rsidP="00241FAE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241FAE" w:rsidRDefault="00241FAE" w:rsidP="00241FAE">
      <w:pPr>
        <w:pStyle w:val="ConsPlusNormal"/>
        <w:jc w:val="center"/>
      </w:pPr>
      <w:r>
        <w:t>от 30.12.2019 N 657)</w:t>
      </w:r>
    </w:p>
    <w:p w:rsidR="00241FAE" w:rsidRDefault="00241FAE" w:rsidP="00241FAE">
      <w:pPr>
        <w:pStyle w:val="ConsPlusNormal"/>
        <w:jc w:val="center"/>
      </w:pPr>
    </w:p>
    <w:p w:rsidR="00241FAE" w:rsidRDefault="00241FAE" w:rsidP="00241FAE">
      <w:pPr>
        <w:pStyle w:val="ConsPlusTitle"/>
        <w:jc w:val="center"/>
        <w:outlineLvl w:val="3"/>
      </w:pPr>
      <w:r>
        <w:t>2.1. Основное мероприятие "Организация предоставления</w:t>
      </w:r>
    </w:p>
    <w:p w:rsidR="00241FAE" w:rsidRDefault="00241FAE" w:rsidP="00241FAE">
      <w:pPr>
        <w:pStyle w:val="ConsPlusTitle"/>
        <w:jc w:val="center"/>
      </w:pPr>
      <w:r>
        <w:t>социального обслуживания"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осуществление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предоставление на территории Ленинградской области государственной услуги по признанию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 и составлению индивидуальной программы предоставления социальных услуг;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совершенствование законодательной и нормативной правовой основы регулирования правоотношений в сфере социального обслуживания населения;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улучшение условий проживания в государственных стационарных учреждениях социального обслуживания Ленинградской области;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повышение качества обслуживания граждан пожилого возраста, ветеранов Великой Отечественной войны, инвалидов, в том числе детей-инвалидов;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создание условий для повышения доступности и качества социальных услуг, внедрение современных технологий социального обслуживания граждан пожилого возраста, инвалидов, несовершеннолетних детей и семей с детьми. </w:t>
      </w:r>
      <w:proofErr w:type="gramStart"/>
      <w:r>
        <w:t>Решение задачи обеспечивается развитием, внедрением и апробацией технологий социального обслуживания ("Служба сиделок", "Социальное сопровождение", "Домой без преград", "Детский телефон доверия" и др.), организацией службы социального такси, внедрением в практику работы организаций социального обслуживания технологий, обеспечивающих возможность предоставления гражданам, в том числе страдающим психическими расстройствами, социальных услуг на дому и в полустационарной форме социального обслуживания.</w:t>
      </w:r>
      <w:proofErr w:type="gramEnd"/>
      <w:r>
        <w:t xml:space="preserve">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области.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Title"/>
        <w:jc w:val="center"/>
        <w:outlineLvl w:val="3"/>
      </w:pPr>
      <w:r>
        <w:t>2.2. Основное мероприятие "Поддержка социально</w:t>
      </w:r>
    </w:p>
    <w:p w:rsidR="00241FAE" w:rsidRDefault="00241FAE" w:rsidP="00241FAE">
      <w:pPr>
        <w:pStyle w:val="ConsPlusTitle"/>
        <w:jc w:val="center"/>
      </w:pPr>
      <w:r>
        <w:t>ориентированных некоммерческих организаций,</w:t>
      </w:r>
    </w:p>
    <w:p w:rsidR="00241FAE" w:rsidRDefault="00241FAE" w:rsidP="00241FAE">
      <w:pPr>
        <w:pStyle w:val="ConsPlusTitle"/>
        <w:jc w:val="center"/>
      </w:pPr>
      <w:r>
        <w:t>благотворителей и добровольцев"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lastRenderedPageBreak/>
        <w:t xml:space="preserve">проведение независимой </w:t>
      </w:r>
      <w:proofErr w:type="gramStart"/>
      <w:r>
        <w:t>оценки качества условий оказания социальных услуг</w:t>
      </w:r>
      <w:proofErr w:type="gramEnd"/>
      <w:r>
        <w:t xml:space="preserve"> организациями социального обслуживания. Решение задачи обеспечивается в рамках работы общественного совета при комитете по социальной защите населения Ленинградской области, осуществляющего деятельность по проведению независимой </w:t>
      </w:r>
      <w:proofErr w:type="gramStart"/>
      <w:r>
        <w:t>оценки качества условий оказания социальных услуг</w:t>
      </w:r>
      <w:proofErr w:type="gramEnd"/>
      <w:r>
        <w:t xml:space="preserve"> организациями социального обслуживания;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проведение конкурсного отбора некоммерческих организаций, не являющихся государственными (муниципальными)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повышение роли сектора некоммерческих организаций в предоставлении социальных услуг гражданам, в том числе услуг социальной реабилитации и </w:t>
      </w:r>
      <w:proofErr w:type="spellStart"/>
      <w:r>
        <w:t>ресоциализации</w:t>
      </w:r>
      <w:proofErr w:type="spellEnd"/>
      <w:r>
        <w:t xml:space="preserve"> гражданам, больным наркоманией, прошедшим курс медицинской реабилитации или находящимся в устойчивой ремиссии. </w:t>
      </w:r>
      <w:proofErr w:type="gramStart"/>
      <w:r>
        <w:t xml:space="preserve">Решение задачи обеспечивается привлечением негосударственных организаций, в том числе социально ориентированных некоммерческих организаций, благотворителей и добровольцев к предоставлению социальных услуг в сфере социального обслуживания и некоммерческих организаций, оказывающих услуги социальной реабилитации и </w:t>
      </w:r>
      <w:proofErr w:type="spellStart"/>
      <w:r>
        <w:t>ресоциализации</w:t>
      </w:r>
      <w:proofErr w:type="spellEnd"/>
      <w:r>
        <w:t xml:space="preserve"> больным наркоманией, прошедшим курс медицинской реабилитации или находящимся в устойчивой ремиссии, и имеющих сертификат соответствия на осуществление указанного вида деятельности.</w:t>
      </w:r>
      <w:proofErr w:type="gramEnd"/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Title"/>
        <w:jc w:val="center"/>
        <w:outlineLvl w:val="3"/>
      </w:pPr>
      <w:r>
        <w:t>2.3. Основное мероприятие "Укрепление</w:t>
      </w:r>
    </w:p>
    <w:p w:rsidR="00241FAE" w:rsidRDefault="00241FAE" w:rsidP="00241FAE">
      <w:pPr>
        <w:pStyle w:val="ConsPlusTitle"/>
        <w:jc w:val="center"/>
      </w:pPr>
      <w:r>
        <w:t xml:space="preserve">материально-технической базы учреждений </w:t>
      </w:r>
      <w:proofErr w:type="gramStart"/>
      <w:r>
        <w:t>социального</w:t>
      </w:r>
      <w:proofErr w:type="gramEnd"/>
    </w:p>
    <w:p w:rsidR="00241FAE" w:rsidRDefault="00241FAE" w:rsidP="00241FAE">
      <w:pPr>
        <w:pStyle w:val="ConsPlusTitle"/>
        <w:jc w:val="center"/>
      </w:pPr>
      <w:r>
        <w:t>обслуживания населения Ленинградской области"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Normal"/>
        <w:ind w:firstLine="540"/>
        <w:jc w:val="both"/>
      </w:pPr>
      <w:r>
        <w:t>В рамках реализации основного мероприятия планируется: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строительство комплексного социально-реабилитационного центра для инвалидов в г. Гатчине;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проведение ремонтных работ в государственных стационарных учреждениях;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укрепление материально-технической базы стационарных и полустационарных учреждений социального обслуживания граждан пожилого возраста и инвалидов в рамках </w:t>
      </w:r>
      <w:proofErr w:type="spellStart"/>
      <w:r>
        <w:t>софинансирования</w:t>
      </w:r>
      <w:proofErr w:type="spellEnd"/>
      <w:r>
        <w:t xml:space="preserve"> региональных социальных программ, в том числе за счет средств Пенсионного фонда Российской Федерации;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создание дома-интерната на основе концессионного соглашения в пос. имени Свердлова;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создание на территории Ленинградской области дополнительно двух геронтологических центров;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создание геронтопсихиатрического отделения в здании бывшего детского сада в г. Лодейное Поле.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Title"/>
        <w:jc w:val="center"/>
        <w:outlineLvl w:val="3"/>
      </w:pPr>
      <w:r>
        <w:t>2.4. Основное мероприятие "Создание условий для развития</w:t>
      </w:r>
    </w:p>
    <w:p w:rsidR="00241FAE" w:rsidRDefault="00241FAE" w:rsidP="00241FAE">
      <w:pPr>
        <w:pStyle w:val="ConsPlusTitle"/>
        <w:jc w:val="center"/>
      </w:pPr>
      <w:r>
        <w:t>коммуникационных навыков отдельных категорий граждан"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Normal"/>
        <w:ind w:firstLine="540"/>
        <w:jc w:val="both"/>
      </w:pPr>
      <w:r>
        <w:t>В рамках основного мероприятия предусматриваются: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lastRenderedPageBreak/>
        <w:t>организация и проведение областных мероприятий, направленных на укрепление института семьи и пропаганду семейных ценностей, сохранение семейного окружения ребенка;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создание условий для социальной реабилитации детей-инвалидов и детей с ограниченными возможностями, их интеграции в общество;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качественное совершенствование реабилитационной среды в детских домах-интернатах;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proofErr w:type="gramStart"/>
      <w:r>
        <w:t xml:space="preserve">осуществление переданных органам государственной власти субъектов Российской Федерации в соответствии с </w:t>
      </w:r>
      <w:hyperlink r:id="rId11" w:history="1">
        <w:r>
          <w:rPr>
            <w:color w:val="0000FF"/>
          </w:rPr>
          <w:t>пунктом 3 статьи 25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</w:t>
      </w:r>
      <w:proofErr w:type="gramEnd"/>
      <w:r>
        <w:t xml:space="preserve"> попечения родителей, образовательных организаций и иных организаций;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проведение на межведомственной основе комплекса взаимосвязанных последовательных мероприятий по социальной реабилитации и подготовке детей-инвалидов, проживающих в </w:t>
      </w:r>
      <w:proofErr w:type="spellStart"/>
      <w:r>
        <w:t>интернатных</w:t>
      </w:r>
      <w:proofErr w:type="spellEnd"/>
      <w:r>
        <w:t xml:space="preserve"> учреждениях, к самостоятельной жизни по достижении 18 лет, включающих в том числе: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разработку и реализацию индивидуальных программ подготовки детей-инвалидов старше 14 лет к самостоятельной жизни вне </w:t>
      </w:r>
      <w:proofErr w:type="spellStart"/>
      <w:r>
        <w:t>интернатного</w:t>
      </w:r>
      <w:proofErr w:type="spellEnd"/>
      <w:r>
        <w:t xml:space="preserve"> учреждения,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ознакомление детей-инвалидов старше 14 лет с их правами и обязанностями в социально-трудовой сфере и в части содержания жилого помещения, формирование у них навыков правильного коммуникативного и </w:t>
      </w:r>
      <w:proofErr w:type="spellStart"/>
      <w:r>
        <w:t>полоролевого</w:t>
      </w:r>
      <w:proofErr w:type="spellEnd"/>
      <w:r>
        <w:t xml:space="preserve"> поведения, необходимых для самостоятельного проживания,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улучшение интеграции воспитанников </w:t>
      </w:r>
      <w:proofErr w:type="spellStart"/>
      <w:r>
        <w:t>интернатных</w:t>
      </w:r>
      <w:proofErr w:type="spellEnd"/>
      <w:r>
        <w:t xml:space="preserve"> учреждений в жизнь местного сообщества (участие в массовых культурных, благотворительных, спортивных и других мероприятиях),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обеспечение совместно с центрами занятости населения и работодателями подбора рабочих мест для выпускников </w:t>
      </w:r>
      <w:proofErr w:type="spellStart"/>
      <w:r>
        <w:t>интернатных</w:t>
      </w:r>
      <w:proofErr w:type="spellEnd"/>
      <w:r>
        <w:t xml:space="preserve"> учреждений,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 населения,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проведение мониторинга качества жизни выпускников </w:t>
      </w:r>
      <w:proofErr w:type="spellStart"/>
      <w:r>
        <w:t>интернатных</w:t>
      </w:r>
      <w:proofErr w:type="spellEnd"/>
      <w:r>
        <w:t xml:space="preserve"> учреждений до полной социальной интеграции в общество,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разработку методических материалов и проведение мероприятий по повышению квалификации для специалистов, обеспечивающих подготовку детей-инвалидов к самостоятельной жизни по достижении 18 лет,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 xml:space="preserve">поддержку общественных инициатив, направленных на улучшение положения выпускников </w:t>
      </w:r>
      <w:proofErr w:type="spellStart"/>
      <w:r>
        <w:t>интернатных</w:t>
      </w:r>
      <w:proofErr w:type="spellEnd"/>
      <w:r>
        <w:t xml:space="preserve"> учреждений для детей-инвалидов.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Title"/>
        <w:jc w:val="center"/>
        <w:outlineLvl w:val="3"/>
      </w:pPr>
      <w:r>
        <w:t>2.5. Основное мероприятие "Повышение качества жизни граждан</w:t>
      </w:r>
    </w:p>
    <w:p w:rsidR="00241FAE" w:rsidRDefault="00241FAE" w:rsidP="00241FAE">
      <w:pPr>
        <w:pStyle w:val="ConsPlusTitle"/>
        <w:jc w:val="center"/>
      </w:pPr>
      <w:r>
        <w:lastRenderedPageBreak/>
        <w:t>пожилого возраста и инвалидов"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Normal"/>
        <w:ind w:firstLine="540"/>
        <w:jc w:val="both"/>
      </w:pPr>
      <w:r>
        <w:t>В рамках реализации основного мероприятия предусматриваются: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совершенствование практики формирования реестра нуждающихся в помощи на основе общепринятых в мировой практике инструментов оценки (типизации) с применением дополнительных критериев, таких как социальный статус или финансовая обеспеченность нуждающегося;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создание сбалансированной системы учреждений долговременного ухода;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разработка и развитие системы неформального (семейного или соседского) ухода в домашних условиях: "Заботливый сосед", "Школа здоровья", "Служба сиделок";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r>
        <w:t>повышение квалификации сотрудников, оказывающих социальные услуги.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Title"/>
        <w:jc w:val="center"/>
        <w:outlineLvl w:val="3"/>
      </w:pPr>
      <w:r>
        <w:t>2.6. Основное мероприятие "Приобретение автотранспорта</w:t>
      </w:r>
    </w:p>
    <w:p w:rsidR="00241FAE" w:rsidRDefault="00241FAE" w:rsidP="00241FAE">
      <w:pPr>
        <w:pStyle w:val="ConsPlusTitle"/>
        <w:jc w:val="center"/>
      </w:pPr>
      <w:r>
        <w:t>в целях осуществления доставки лиц старше 65 лет,</w:t>
      </w:r>
    </w:p>
    <w:p w:rsidR="00241FAE" w:rsidRDefault="00241FAE" w:rsidP="00241FAE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 медицинские организации</w:t>
      </w:r>
    </w:p>
    <w:p w:rsidR="00241FAE" w:rsidRDefault="00241FAE" w:rsidP="00241FAE">
      <w:pPr>
        <w:pStyle w:val="ConsPlusTitle"/>
        <w:jc w:val="center"/>
      </w:pPr>
      <w:r>
        <w:t>в рамках федерального проекта "Старшее поколение"</w:t>
      </w:r>
    </w:p>
    <w:p w:rsidR="00241FAE" w:rsidRDefault="00241FAE" w:rsidP="00241FAE">
      <w:pPr>
        <w:pStyle w:val="ConsPlusNormal"/>
        <w:ind w:firstLine="540"/>
        <w:jc w:val="both"/>
      </w:pPr>
    </w:p>
    <w:p w:rsidR="00241FAE" w:rsidRDefault="00241FAE" w:rsidP="00241FAE">
      <w:pPr>
        <w:pStyle w:val="ConsPlusNormal"/>
        <w:ind w:firstLine="540"/>
        <w:jc w:val="both"/>
      </w:pPr>
      <w:r>
        <w:t>Целью реализации проекта является увеличение ожидаемой продолжительности здоровой жизни до 67 лет.</w:t>
      </w:r>
    </w:p>
    <w:p w:rsidR="00241FAE" w:rsidRDefault="00241FAE" w:rsidP="00241FAE">
      <w:pPr>
        <w:pStyle w:val="ConsPlusNormal"/>
        <w:spacing w:before="240"/>
        <w:ind w:firstLine="540"/>
        <w:jc w:val="both"/>
      </w:pPr>
      <w:proofErr w:type="gramStart"/>
      <w:r>
        <w:t>Основными задачами федерального проекта являются увеличение периода активного долголетия и продолжительности здоровой жизни, создание системы долговременного ухода за гражданами пожилого возраста и инвалидами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</w:t>
      </w:r>
      <w:proofErr w:type="gramEnd"/>
      <w:r>
        <w:t xml:space="preserve"> семейного ухода, 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них, 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8A12BB" w:rsidRDefault="00241FAE"/>
    <w:sectPr w:rsidR="008A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E"/>
    <w:rsid w:val="00010FBC"/>
    <w:rsid w:val="001A52A4"/>
    <w:rsid w:val="00241FAE"/>
    <w:rsid w:val="00274C7A"/>
    <w:rsid w:val="003D3449"/>
    <w:rsid w:val="004C1D48"/>
    <w:rsid w:val="00553672"/>
    <w:rsid w:val="00645BEA"/>
    <w:rsid w:val="00653234"/>
    <w:rsid w:val="0067676B"/>
    <w:rsid w:val="006D30DE"/>
    <w:rsid w:val="006D6665"/>
    <w:rsid w:val="00824ED2"/>
    <w:rsid w:val="008B4C23"/>
    <w:rsid w:val="00921015"/>
    <w:rsid w:val="00985E08"/>
    <w:rsid w:val="009B16C5"/>
    <w:rsid w:val="00A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41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41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125D0C0A0560910D8BF038BF72CCD4502D9C0C63CA8F75075BEB6A98BBF3B0E8333BE105F32F6A5AA83389EE0EA6D90E21899F76FF8DCSDdC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125D0C0A0560910D8A0129EF72CCD4606DCC1CF3DA8F75075BEB6A98BBF3B0E8333BE105F32F1A2AA83389EE0EA6D90E21899F76FF8DCSDdC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125D0C0A0560910D8A0129EF72CCD4606DCC1CF3DA8F75075BEB6A98BBF3B0E8333BE105F32F0A3AA83389EE0EA6D90E21899F76FF8DCSDdCP" TargetMode="External"/><Relationship Id="rId11" Type="http://schemas.openxmlformats.org/officeDocument/2006/relationships/hyperlink" Target="consultantplus://offline/ref=502125D0C0A0560910D8BF038BF72CCD4701DFCACA3FA8F75075BEB6A98BBF3B0E8333BE145739A2F3E58264DBB7F96C9AE21A91EBS6dDP" TargetMode="External"/><Relationship Id="rId5" Type="http://schemas.openxmlformats.org/officeDocument/2006/relationships/hyperlink" Target="consultantplus://offline/ref=502125D0C0A0560910D8A0129EF72CCD4606DCC1CF3DA8F75075BEB6A98BBF3B0E8333BE105F32F3A4AA83389EE0EA6D90E21899F76FF8DCSDdCP" TargetMode="External"/><Relationship Id="rId10" Type="http://schemas.openxmlformats.org/officeDocument/2006/relationships/hyperlink" Target="consultantplus://offline/ref=502125D0C0A0560910D8A0129EF72CCD4606DCC1CF3DA8F75075BEB6A98BBF3B0E8333BE105F32F1A1AA83389EE0EA6D90E21899F76FF8DCSDd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2125D0C0A0560910D8BF038BF72CCD4701D6C8CD3DA8F75075BEB6A98BBF3B1C836BB2115D2CF6AABFD569D8SBd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Дмитрий Александрович</dc:creator>
  <cp:lastModifiedBy>Лебедев Дмитрий Александрович</cp:lastModifiedBy>
  <cp:revision>1</cp:revision>
  <dcterms:created xsi:type="dcterms:W3CDTF">2020-08-12T15:43:00Z</dcterms:created>
  <dcterms:modified xsi:type="dcterms:W3CDTF">2020-08-12T15:44:00Z</dcterms:modified>
</cp:coreProperties>
</file>