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3F" w:rsidRDefault="00F63CBA" w:rsidP="0024583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bookmarkStart w:id="0" w:name="_GoBack"/>
      <w:bookmarkEnd w:id="0"/>
      <w:r w:rsidR="0024583F" w:rsidRPr="0024583F">
        <w:rPr>
          <w:b/>
          <w:sz w:val="28"/>
          <w:szCs w:val="28"/>
        </w:rPr>
        <w:t>о реализации в 2019 году проекта «Разработка и реализации программы системной поддержки и повышения качества жизни граждан старшего поколения (Ленинградская область)» национального проекта «Демография»</w:t>
      </w:r>
    </w:p>
    <w:p w:rsidR="005B2838" w:rsidRDefault="005B2838" w:rsidP="0024583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B2838" w:rsidRDefault="005B2838" w:rsidP="005B2838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5B2838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«Старшее поколение»</w:t>
      </w:r>
      <w:r w:rsidRPr="005B28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целью которого является </w:t>
      </w:r>
      <w:r w:rsidRPr="005B2838">
        <w:rPr>
          <w:sz w:val="28"/>
          <w:szCs w:val="28"/>
        </w:rPr>
        <w:t xml:space="preserve"> увеличение продолжительности здоровой жизни в Ленинградской области до 67 лет к 2024 году</w:t>
      </w:r>
      <w:r>
        <w:rPr>
          <w:sz w:val="28"/>
          <w:szCs w:val="28"/>
        </w:rPr>
        <w:t>, направлена на решение следующих задач:</w:t>
      </w:r>
    </w:p>
    <w:p w:rsidR="005B2838" w:rsidRPr="005B2838" w:rsidRDefault="005B2838" w:rsidP="005B2838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2838">
        <w:rPr>
          <w:rFonts w:eastAsiaTheme="minorHAnsi"/>
          <w:sz w:val="28"/>
          <w:szCs w:val="28"/>
          <w:lang w:eastAsia="en-US"/>
        </w:rPr>
        <w:t>укрепление здоровья, увеличение периода активного долголетия</w:t>
      </w:r>
    </w:p>
    <w:p w:rsidR="005B2838" w:rsidRPr="005B2838" w:rsidRDefault="005B2838" w:rsidP="005B283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5B2838">
        <w:rPr>
          <w:rFonts w:eastAsiaTheme="minorHAnsi"/>
          <w:sz w:val="28"/>
          <w:szCs w:val="28"/>
          <w:lang w:eastAsia="en-US"/>
        </w:rPr>
        <w:t>и продолжительности здоровой жизни</w:t>
      </w:r>
      <w:r>
        <w:rPr>
          <w:rFonts w:eastAsiaTheme="minorHAnsi"/>
          <w:sz w:val="28"/>
          <w:szCs w:val="28"/>
          <w:lang w:eastAsia="en-US"/>
        </w:rPr>
        <w:t xml:space="preserve"> граждан старшего поколения</w:t>
      </w:r>
      <w:r w:rsidRPr="005B2838">
        <w:rPr>
          <w:rFonts w:eastAsiaTheme="minorHAnsi"/>
          <w:sz w:val="28"/>
          <w:szCs w:val="28"/>
          <w:lang w:eastAsia="en-US"/>
        </w:rPr>
        <w:t>;</w:t>
      </w:r>
    </w:p>
    <w:p w:rsidR="005B2838" w:rsidRPr="005B2838" w:rsidRDefault="005B2838" w:rsidP="005B2838">
      <w:pPr>
        <w:widowControl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B2838">
        <w:rPr>
          <w:rFonts w:eastAsiaTheme="minorHAnsi"/>
          <w:sz w:val="28"/>
          <w:szCs w:val="28"/>
          <w:lang w:eastAsia="en-US"/>
        </w:rPr>
        <w:t>создание системы долговременного ухода за гражданами пожилого возраста и инвалидами, как составной части мероприятий, направленных на развитие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B2838">
        <w:rPr>
          <w:rFonts w:eastAsiaTheme="minorHAnsi"/>
          <w:sz w:val="28"/>
          <w:szCs w:val="28"/>
          <w:lang w:eastAsia="en-US"/>
        </w:rPr>
        <w:t>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формах с привлечением патронажной службы и сиделок, а также поддержку семейного ухода;</w:t>
      </w:r>
      <w:proofErr w:type="gramEnd"/>
    </w:p>
    <w:p w:rsidR="005B2838" w:rsidRPr="00777345" w:rsidRDefault="005B2838" w:rsidP="005B283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5B2838">
        <w:rPr>
          <w:rFonts w:eastAsiaTheme="minorHAnsi"/>
          <w:sz w:val="28"/>
          <w:szCs w:val="28"/>
          <w:lang w:eastAsia="en-US"/>
        </w:rPr>
        <w:t>организации мероприятий по профессиональному обучению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5B2838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Pr="005B2838">
        <w:rPr>
          <w:rFonts w:eastAsiaTheme="minorHAnsi"/>
          <w:sz w:val="28"/>
          <w:szCs w:val="28"/>
          <w:lang w:eastAsia="en-US"/>
        </w:rPr>
        <w:t>ополнительному профессиональному</w:t>
      </w:r>
      <w:r w:rsidRPr="005B283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5B2838">
        <w:rPr>
          <w:rFonts w:eastAsiaTheme="minorHAnsi"/>
          <w:sz w:val="28"/>
          <w:szCs w:val="28"/>
          <w:lang w:eastAsia="en-US"/>
        </w:rPr>
        <w:t>образованию лиц в возрасте от 50 лет и старше, а так</w:t>
      </w:r>
      <w:r w:rsidR="00777345">
        <w:rPr>
          <w:rFonts w:eastAsiaTheme="minorHAnsi"/>
          <w:sz w:val="28"/>
          <w:szCs w:val="28"/>
          <w:lang w:eastAsia="en-US"/>
        </w:rPr>
        <w:t xml:space="preserve">же лиц </w:t>
      </w:r>
      <w:proofErr w:type="spellStart"/>
      <w:r w:rsidR="00777345">
        <w:rPr>
          <w:rFonts w:eastAsiaTheme="minorHAnsi"/>
          <w:sz w:val="28"/>
          <w:szCs w:val="28"/>
          <w:lang w:eastAsia="en-US"/>
        </w:rPr>
        <w:t>предпенсионного</w:t>
      </w:r>
      <w:proofErr w:type="spellEnd"/>
      <w:r w:rsidR="00777345">
        <w:rPr>
          <w:rFonts w:eastAsiaTheme="minorHAnsi"/>
          <w:sz w:val="28"/>
          <w:szCs w:val="28"/>
          <w:lang w:eastAsia="en-US"/>
        </w:rPr>
        <w:t xml:space="preserve"> возраста.</w:t>
      </w:r>
    </w:p>
    <w:p w:rsidR="00777345" w:rsidRDefault="00777345" w:rsidP="005B2838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финансирование  мероприятий проекта составило – 67, 3 млн. рублей (федеральный бюджет – 66, 28 млн. рублей, областной 1,02 млн. рублей). Это такие мероприятия:</w:t>
      </w:r>
    </w:p>
    <w:p w:rsidR="005B2838" w:rsidRDefault="00777345" w:rsidP="005B2838">
      <w:pPr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777345">
        <w:rPr>
          <w:rFonts w:eastAsiaTheme="minorHAnsi"/>
          <w:color w:val="000000"/>
          <w:sz w:val="28"/>
          <w:szCs w:val="28"/>
          <w:lang w:eastAsia="en-US"/>
        </w:rPr>
        <w:t>риобретение автотранспорта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 целях осуществления  доставки лиц старше 65 лет, проживающих в сельской местности, в медицинские организации - 41,8 млн. рублей;</w:t>
      </w:r>
    </w:p>
    <w:p w:rsidR="00777345" w:rsidRDefault="00777345" w:rsidP="005B2838">
      <w:pPr>
        <w:adjustRightInd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вакцинация лиц старше трудоспособного возраста из групп риска, проживающих в организациях социального обслуживания – 5,033 млн. рублей;</w:t>
      </w:r>
    </w:p>
    <w:p w:rsidR="00777345" w:rsidRDefault="00777345" w:rsidP="009329DE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329DE">
        <w:rPr>
          <w:rFonts w:eastAsiaTheme="minorHAnsi"/>
          <w:color w:val="000000"/>
          <w:sz w:val="28"/>
          <w:szCs w:val="28"/>
          <w:lang w:eastAsia="en-US"/>
        </w:rPr>
        <w:tab/>
      </w:r>
      <w:r w:rsidR="009329DE" w:rsidRPr="009329DE">
        <w:rPr>
          <w:rFonts w:eastAsiaTheme="minorHAnsi"/>
          <w:color w:val="000000"/>
          <w:sz w:val="28"/>
          <w:szCs w:val="28"/>
          <w:lang w:eastAsia="en-US"/>
        </w:rPr>
        <w:t xml:space="preserve">организация обучения </w:t>
      </w:r>
      <w:r w:rsidR="009329DE" w:rsidRPr="009329DE">
        <w:rPr>
          <w:rFonts w:eastAsiaTheme="minorHAnsi"/>
          <w:sz w:val="28"/>
          <w:szCs w:val="28"/>
          <w:lang w:eastAsia="en-US"/>
        </w:rPr>
        <w:t xml:space="preserve">лиц </w:t>
      </w:r>
      <w:proofErr w:type="spellStart"/>
      <w:r w:rsidR="009329DE" w:rsidRPr="009329DE">
        <w:rPr>
          <w:rFonts w:eastAsiaTheme="minorHAnsi"/>
          <w:sz w:val="28"/>
          <w:szCs w:val="28"/>
          <w:lang w:eastAsia="en-US"/>
        </w:rPr>
        <w:t>предпенсионного</w:t>
      </w:r>
      <w:proofErr w:type="spellEnd"/>
      <w:r w:rsidR="009329DE" w:rsidRPr="009329DE">
        <w:rPr>
          <w:rFonts w:eastAsiaTheme="minorHAnsi"/>
          <w:sz w:val="28"/>
          <w:szCs w:val="28"/>
          <w:lang w:eastAsia="en-US"/>
        </w:rPr>
        <w:t xml:space="preserve"> возраста </w:t>
      </w:r>
      <w:r w:rsidR="009329DE" w:rsidRPr="005B2838">
        <w:rPr>
          <w:rFonts w:eastAsiaTheme="minorHAnsi"/>
          <w:sz w:val="28"/>
          <w:szCs w:val="28"/>
          <w:lang w:eastAsia="en-US"/>
        </w:rPr>
        <w:t>и старше</w:t>
      </w:r>
      <w:r w:rsidR="00BE71DE">
        <w:rPr>
          <w:rFonts w:eastAsiaTheme="minorHAnsi"/>
          <w:sz w:val="28"/>
          <w:szCs w:val="28"/>
          <w:lang w:eastAsia="en-US"/>
        </w:rPr>
        <w:t xml:space="preserve"> </w:t>
      </w:r>
      <w:r w:rsidR="009329DE">
        <w:rPr>
          <w:rFonts w:eastAsiaTheme="minorHAnsi"/>
          <w:sz w:val="28"/>
          <w:szCs w:val="28"/>
          <w:lang w:eastAsia="en-US"/>
        </w:rPr>
        <w:t xml:space="preserve"> – 20,46</w:t>
      </w:r>
      <w:r w:rsidR="00BE71DE">
        <w:rPr>
          <w:rFonts w:eastAsiaTheme="minorHAnsi"/>
          <w:sz w:val="28"/>
          <w:szCs w:val="28"/>
          <w:lang w:eastAsia="en-US"/>
        </w:rPr>
        <w:t>млн. рублей</w:t>
      </w:r>
      <w:r w:rsidR="009329DE">
        <w:rPr>
          <w:rFonts w:eastAsiaTheme="minorHAnsi"/>
          <w:sz w:val="28"/>
          <w:szCs w:val="28"/>
          <w:lang w:eastAsia="en-US"/>
        </w:rPr>
        <w:t>.</w:t>
      </w:r>
    </w:p>
    <w:p w:rsidR="00CA3213" w:rsidRPr="00CA3213" w:rsidRDefault="00CA3213" w:rsidP="009329DE">
      <w:pPr>
        <w:widowControl/>
        <w:rPr>
          <w:b/>
          <w:sz w:val="28"/>
          <w:szCs w:val="28"/>
        </w:rPr>
      </w:pPr>
      <w:r w:rsidRPr="00CA3213">
        <w:rPr>
          <w:rFonts w:eastAsiaTheme="minorHAnsi"/>
          <w:b/>
          <w:sz w:val="28"/>
          <w:szCs w:val="28"/>
          <w:lang w:eastAsia="en-US"/>
        </w:rPr>
        <w:tab/>
        <w:t>Финансирование освоено в полном объеме</w:t>
      </w:r>
      <w:r>
        <w:rPr>
          <w:rFonts w:eastAsiaTheme="minorHAnsi"/>
          <w:b/>
          <w:sz w:val="28"/>
          <w:szCs w:val="28"/>
          <w:lang w:eastAsia="en-US"/>
        </w:rPr>
        <w:t xml:space="preserve">  - 67,3 млн. рублей.</w:t>
      </w:r>
      <w:r w:rsidRPr="00CA3213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F7DF5" w:rsidRDefault="00EF7DF5" w:rsidP="005B2838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</w:t>
      </w:r>
      <w:r w:rsidR="00360D50">
        <w:rPr>
          <w:sz w:val="28"/>
          <w:szCs w:val="28"/>
        </w:rPr>
        <w:t>лизации проекта принято более 12</w:t>
      </w:r>
      <w:r>
        <w:rPr>
          <w:sz w:val="28"/>
          <w:szCs w:val="28"/>
        </w:rPr>
        <w:t xml:space="preserve"> нормативно-правовых актов Ленинградской области. </w:t>
      </w:r>
    </w:p>
    <w:p w:rsidR="005B2838" w:rsidRPr="005B2838" w:rsidRDefault="00EF7DF5" w:rsidP="005B2838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</w:t>
      </w:r>
      <w:r w:rsidRPr="005B2838">
        <w:rPr>
          <w:sz w:val="28"/>
          <w:szCs w:val="28"/>
        </w:rPr>
        <w:t>К</w:t>
      </w:r>
      <w:r w:rsidR="001E1CF7">
        <w:rPr>
          <w:rFonts w:cs="Calibri"/>
          <w:bCs/>
          <w:sz w:val="28"/>
          <w:szCs w:val="28"/>
        </w:rPr>
        <w:t>омплексный п</w:t>
      </w:r>
      <w:r w:rsidRPr="005B2838">
        <w:rPr>
          <w:rFonts w:cs="Calibri"/>
          <w:bCs/>
          <w:sz w:val="28"/>
          <w:szCs w:val="28"/>
        </w:rPr>
        <w:t>лан мероприятий («дорожная карта») «Повышение качества жизни граждан пожилого возраста, увеличение периода активного долголетия и продолжительности здоровой жизни граждан старшего поколения в  2019 – 2024 годах» (далее -  Комплексный план),</w:t>
      </w:r>
      <w:r>
        <w:rPr>
          <w:rFonts w:cs="Calibri"/>
          <w:bCs/>
          <w:sz w:val="28"/>
          <w:szCs w:val="28"/>
        </w:rPr>
        <w:t xml:space="preserve"> утвержденный р</w:t>
      </w:r>
      <w:r w:rsidR="005B2838" w:rsidRPr="005B2838">
        <w:rPr>
          <w:sz w:val="28"/>
          <w:szCs w:val="28"/>
        </w:rPr>
        <w:t>аспоряжением Правительства Ленинградской области от 12 декабря 2019 года № 836-р</w:t>
      </w:r>
      <w:r>
        <w:rPr>
          <w:sz w:val="28"/>
          <w:szCs w:val="28"/>
        </w:rPr>
        <w:t>.</w:t>
      </w:r>
      <w:r w:rsidR="005B2838" w:rsidRPr="005B283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Комплексный план </w:t>
      </w:r>
      <w:r w:rsidR="005B2838" w:rsidRPr="005B2838">
        <w:rPr>
          <w:sz w:val="28"/>
          <w:szCs w:val="28"/>
        </w:rPr>
        <w:t>включены мероприятия, направленные на совершенствование системы охраны здоровья граждан старшего поколения; развитие системы социального обслуживания; создание условий для формирования ко</w:t>
      </w:r>
      <w:r w:rsidR="00CA3213">
        <w:rPr>
          <w:sz w:val="28"/>
          <w:szCs w:val="28"/>
        </w:rPr>
        <w:t>мфортной  потребительской среды;</w:t>
      </w:r>
      <w:r w:rsidR="005B2838" w:rsidRPr="005B2838">
        <w:rPr>
          <w:sz w:val="28"/>
          <w:szCs w:val="28"/>
        </w:rPr>
        <w:t xml:space="preserve"> совершенствование организации профессионального обучения, дополнительного профессионального образования по востребованным на рынке труда </w:t>
      </w:r>
      <w:r w:rsidR="005B2838" w:rsidRPr="005B2838">
        <w:rPr>
          <w:sz w:val="28"/>
          <w:szCs w:val="28"/>
        </w:rPr>
        <w:lastRenderedPageBreak/>
        <w:t>профессиям и специальностям для реализации трудового потенциала граждан старшего поколения; создание условий для занятия физической культурой и  спортом;</w:t>
      </w:r>
      <w:proofErr w:type="gramEnd"/>
      <w:r w:rsidR="005B2838" w:rsidRPr="005B2838">
        <w:rPr>
          <w:sz w:val="28"/>
          <w:szCs w:val="28"/>
        </w:rPr>
        <w:t xml:space="preserve">  вовлечение граждан старшего поколения в волонтерскую деятельность, особенно в развитие «серебряного </w:t>
      </w:r>
      <w:proofErr w:type="spellStart"/>
      <w:r w:rsidR="005B2838" w:rsidRPr="005B2838">
        <w:rPr>
          <w:sz w:val="28"/>
          <w:szCs w:val="28"/>
        </w:rPr>
        <w:t>волонтерства</w:t>
      </w:r>
      <w:proofErr w:type="spellEnd"/>
      <w:r w:rsidR="005B2838" w:rsidRPr="005B2838">
        <w:rPr>
          <w:sz w:val="28"/>
          <w:szCs w:val="28"/>
        </w:rPr>
        <w:t>»; вовлечение граждан старшего поколения в культурную жизнь общества; расширение использования и обеспечения приспособленности парка общественного транспорта к потребностям  людей старшего поколения.</w:t>
      </w:r>
    </w:p>
    <w:p w:rsidR="00EF7DF5" w:rsidRDefault="00EF7DF5" w:rsidP="005B283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E6438">
        <w:rPr>
          <w:sz w:val="28"/>
          <w:szCs w:val="28"/>
        </w:rPr>
        <w:t>Разработана новая методика по признанию</w:t>
      </w:r>
      <w:r w:rsidR="00EA2C40" w:rsidRPr="000E6438">
        <w:rPr>
          <w:sz w:val="28"/>
          <w:szCs w:val="28"/>
        </w:rPr>
        <w:t xml:space="preserve"> гражданина нуждающимся в социальном обслуживании</w:t>
      </w:r>
      <w:r w:rsidRPr="000E6438">
        <w:rPr>
          <w:sz w:val="28"/>
          <w:szCs w:val="28"/>
        </w:rPr>
        <w:t>, которая включает</w:t>
      </w:r>
      <w:r>
        <w:rPr>
          <w:sz w:val="28"/>
          <w:szCs w:val="28"/>
        </w:rPr>
        <w:t xml:space="preserve"> критерии, позволяющие </w:t>
      </w:r>
      <w:r w:rsidR="001F4BCA">
        <w:rPr>
          <w:sz w:val="28"/>
          <w:szCs w:val="28"/>
        </w:rPr>
        <w:t xml:space="preserve">адресно </w:t>
      </w:r>
      <w:r>
        <w:rPr>
          <w:sz w:val="28"/>
          <w:szCs w:val="28"/>
        </w:rPr>
        <w:t xml:space="preserve">принимать решения о необходимости социального обслуживания с учетом конкретной </w:t>
      </w:r>
      <w:r w:rsidR="00EA2C40">
        <w:rPr>
          <w:sz w:val="28"/>
          <w:szCs w:val="28"/>
        </w:rPr>
        <w:t xml:space="preserve">жизненной </w:t>
      </w:r>
      <w:r>
        <w:rPr>
          <w:sz w:val="28"/>
          <w:szCs w:val="28"/>
        </w:rPr>
        <w:t>ситуации, состояния здоровья</w:t>
      </w:r>
      <w:r w:rsidR="00EA2C40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  <w:proofErr w:type="gramEnd"/>
    </w:p>
    <w:p w:rsidR="00EF7DF5" w:rsidRDefault="00B239D5" w:rsidP="005B2838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Модернизирована деятельность 18</w:t>
      </w:r>
      <w:r w:rsidR="00EF7DF5">
        <w:rPr>
          <w:sz w:val="28"/>
          <w:szCs w:val="28"/>
        </w:rPr>
        <w:t xml:space="preserve"> пунктов проката технических средств реабилитации, </w:t>
      </w:r>
      <w:r>
        <w:rPr>
          <w:sz w:val="28"/>
          <w:szCs w:val="28"/>
        </w:rPr>
        <w:t xml:space="preserve">оснащены реабилитационным оборудованием комплексные центры </w:t>
      </w:r>
      <w:r w:rsidR="00EF7DF5">
        <w:rPr>
          <w:sz w:val="28"/>
          <w:szCs w:val="28"/>
        </w:rPr>
        <w:t>социального обслуживания населения</w:t>
      </w:r>
      <w:r w:rsidR="001E1CF7">
        <w:rPr>
          <w:sz w:val="28"/>
          <w:szCs w:val="28"/>
        </w:rPr>
        <w:t xml:space="preserve"> Ленинградской области</w:t>
      </w:r>
      <w:r w:rsidR="00EF7DF5">
        <w:rPr>
          <w:sz w:val="28"/>
          <w:szCs w:val="28"/>
        </w:rPr>
        <w:t>.</w:t>
      </w:r>
    </w:p>
    <w:p w:rsidR="00360D50" w:rsidRDefault="005B2838" w:rsidP="00360D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B2838">
        <w:rPr>
          <w:sz w:val="28"/>
          <w:szCs w:val="28"/>
        </w:rPr>
        <w:t>Организовано приобретение 18 единиц автотранспорта в целях осуществления доставки лиц старше 65 лет, проживающих в сельской местности, в медицинские организации. 1 августа 2019 года автомобили переданы в комплексные центры и с октября 2019 года в Ленинградской области начата работа мобильных бригад, созданных в  комплексных центрах социальной защиты населения Ленинградской области.</w:t>
      </w:r>
      <w:r w:rsidR="00A45911" w:rsidRPr="00A45911">
        <w:rPr>
          <w:sz w:val="28"/>
          <w:szCs w:val="28"/>
        </w:rPr>
        <w:t xml:space="preserve"> Выделены дополнительные ставки: водитель, специалист по социальной работе.</w:t>
      </w:r>
      <w:r w:rsidR="00A45911">
        <w:rPr>
          <w:sz w:val="28"/>
          <w:szCs w:val="28"/>
        </w:rPr>
        <w:t xml:space="preserve"> </w:t>
      </w:r>
    </w:p>
    <w:p w:rsidR="00A45911" w:rsidRPr="005B2838" w:rsidRDefault="00A45911" w:rsidP="00360D5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45911">
        <w:rPr>
          <w:sz w:val="28"/>
          <w:szCs w:val="28"/>
        </w:rPr>
        <w:t xml:space="preserve">На деятельность мобильных бригад в 2019 году из областного бюджета  выделено – 6 076,04 тыс. рублей,  запланировано в 2020 году -  39 113,15 тыс. рублей. </w:t>
      </w:r>
    </w:p>
    <w:p w:rsidR="005B2838" w:rsidRPr="005B2838" w:rsidRDefault="005B2838" w:rsidP="005B2838">
      <w:pPr>
        <w:widowControl/>
        <w:autoSpaceDE/>
        <w:autoSpaceDN/>
        <w:adjustRightInd/>
        <w:ind w:firstLine="709"/>
        <w:jc w:val="both"/>
        <w:rPr>
          <w:color w:val="000000"/>
          <w:spacing w:val="-2"/>
          <w:sz w:val="28"/>
          <w:szCs w:val="28"/>
          <w:lang w:eastAsia="en-US"/>
        </w:rPr>
      </w:pPr>
      <w:r w:rsidRPr="005B2838">
        <w:rPr>
          <w:sz w:val="28"/>
          <w:szCs w:val="28"/>
        </w:rPr>
        <w:t xml:space="preserve">За период с 1 октября осуществлено  745 поездок из 684 населенных пунктов Ленинградской области, количество лиц, старше 65 лет, проживающих в сельской местности, доставленных в медицинские организации – 3 581. </w:t>
      </w:r>
      <w:r w:rsidRPr="005B2838">
        <w:rPr>
          <w:color w:val="000000"/>
          <w:spacing w:val="-2"/>
          <w:sz w:val="28"/>
          <w:szCs w:val="28"/>
          <w:lang w:eastAsia="en-US"/>
        </w:rPr>
        <w:t>Приобретение автотранспорта  позволило достичь установленные Проектом показатели по диспансеризации.</w:t>
      </w:r>
    </w:p>
    <w:p w:rsidR="005B2838" w:rsidRPr="005B2838" w:rsidRDefault="005B2838" w:rsidP="005B2838">
      <w:pPr>
        <w:widowControl/>
        <w:autoSpaceDE/>
        <w:autoSpaceDN/>
        <w:adjustRightInd/>
        <w:ind w:firstLine="709"/>
        <w:jc w:val="both"/>
        <w:rPr>
          <w:b/>
          <w:color w:val="000000"/>
          <w:spacing w:val="-2"/>
          <w:sz w:val="28"/>
          <w:szCs w:val="28"/>
          <w:lang w:eastAsia="en-US"/>
        </w:rPr>
      </w:pPr>
      <w:r w:rsidRPr="005B2838">
        <w:rPr>
          <w:color w:val="000000"/>
          <w:spacing w:val="-2"/>
          <w:sz w:val="28"/>
          <w:szCs w:val="28"/>
          <w:lang w:eastAsia="en-US"/>
        </w:rPr>
        <w:t xml:space="preserve">Сотрудниками комитета по социальной защите населения Ленинградской области  выборочно осуществлены  выезды </w:t>
      </w:r>
      <w:r w:rsidR="009329DE">
        <w:rPr>
          <w:color w:val="000000"/>
          <w:spacing w:val="-2"/>
          <w:sz w:val="28"/>
          <w:szCs w:val="28"/>
          <w:lang w:eastAsia="en-US"/>
        </w:rPr>
        <w:t>с мобильными бригадами, проводил</w:t>
      </w:r>
      <w:r w:rsidRPr="005B2838">
        <w:rPr>
          <w:color w:val="000000"/>
          <w:spacing w:val="-2"/>
          <w:sz w:val="28"/>
          <w:szCs w:val="28"/>
          <w:lang w:eastAsia="en-US"/>
        </w:rPr>
        <w:t>ся опрос населения. Отзывы пожилых людей положительные.</w:t>
      </w:r>
    </w:p>
    <w:p w:rsidR="005B2838" w:rsidRPr="005B2838" w:rsidRDefault="005B2838" w:rsidP="005B283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B2838">
        <w:rPr>
          <w:rFonts w:eastAsia="Calibri"/>
          <w:sz w:val="28"/>
          <w:szCs w:val="28"/>
          <w:lang w:eastAsia="en-US"/>
        </w:rPr>
        <w:t xml:space="preserve">С целью повышения доступности медицинской помощи (в том числе обеспечение пожилых граждан диспансеризацией и профилактическими осмотрами, включая граждан, проживающих в сельских территориях) в Ленинградской области функционирует 1 гериатрическое отделение на 30 коек во 2 Морозовской УБ ГБУЗ ЛО «Всеволожская КМБ», 15 коек в </w:t>
      </w:r>
      <w:proofErr w:type="spellStart"/>
      <w:r w:rsidRPr="005B2838">
        <w:rPr>
          <w:rFonts w:eastAsia="Calibri"/>
          <w:sz w:val="28"/>
          <w:szCs w:val="28"/>
          <w:lang w:eastAsia="en-US"/>
        </w:rPr>
        <w:t>Лужской</w:t>
      </w:r>
      <w:proofErr w:type="spellEnd"/>
      <w:r w:rsidRPr="005B2838">
        <w:rPr>
          <w:rFonts w:eastAsia="Calibri"/>
          <w:sz w:val="28"/>
          <w:szCs w:val="28"/>
          <w:lang w:eastAsia="en-US"/>
        </w:rPr>
        <w:t xml:space="preserve"> МБ, 15 коек в </w:t>
      </w:r>
      <w:proofErr w:type="spellStart"/>
      <w:r w:rsidRPr="005B2838">
        <w:rPr>
          <w:rFonts w:eastAsia="Calibri"/>
          <w:sz w:val="28"/>
          <w:szCs w:val="28"/>
          <w:lang w:eastAsia="en-US"/>
        </w:rPr>
        <w:t>Кингисеппской</w:t>
      </w:r>
      <w:proofErr w:type="spellEnd"/>
      <w:r w:rsidRPr="005B2838">
        <w:rPr>
          <w:rFonts w:eastAsia="Calibri"/>
          <w:sz w:val="28"/>
          <w:szCs w:val="28"/>
          <w:lang w:eastAsia="en-US"/>
        </w:rPr>
        <w:t xml:space="preserve"> МБ.</w:t>
      </w:r>
      <w:proofErr w:type="gramEnd"/>
    </w:p>
    <w:p w:rsidR="005B2838" w:rsidRPr="005B2838" w:rsidRDefault="00777345" w:rsidP="005B283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2019 году открыты </w:t>
      </w:r>
      <w:r w:rsidR="005B2838" w:rsidRPr="005B2838">
        <w:rPr>
          <w:rFonts w:eastAsia="Calibri"/>
          <w:sz w:val="28"/>
          <w:szCs w:val="28"/>
          <w:lang w:eastAsia="en-US"/>
        </w:rPr>
        <w:t xml:space="preserve">10 гериатрических кабинетов в медицинских организациях Ленинградской области. </w:t>
      </w:r>
      <w:proofErr w:type="gramEnd"/>
    </w:p>
    <w:p w:rsidR="009329DE" w:rsidRDefault="005B2838" w:rsidP="005B283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38">
        <w:rPr>
          <w:rFonts w:eastAsia="Calibri"/>
          <w:sz w:val="28"/>
          <w:szCs w:val="28"/>
          <w:lang w:eastAsia="en-US"/>
        </w:rPr>
        <w:t xml:space="preserve">Проведена диспансеризация лиц старшего возраста. </w:t>
      </w:r>
    </w:p>
    <w:p w:rsidR="005B2838" w:rsidRPr="005B2838" w:rsidRDefault="005B2838" w:rsidP="005B2838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2838">
        <w:rPr>
          <w:rFonts w:eastAsia="Calibri"/>
          <w:sz w:val="28"/>
          <w:szCs w:val="28"/>
          <w:lang w:eastAsia="en-US"/>
        </w:rPr>
        <w:t>Достигнуты следующие показатели в рамках реализации проекта «Старшее поколение»:</w:t>
      </w:r>
    </w:p>
    <w:p w:rsidR="005B2838" w:rsidRPr="005B2838" w:rsidRDefault="005B2838" w:rsidP="005B2838">
      <w:pPr>
        <w:widowControl/>
        <w:tabs>
          <w:tab w:val="left" w:pos="5895"/>
        </w:tabs>
        <w:autoSpaceDE/>
        <w:autoSpaceDN/>
        <w:adjustRightInd/>
        <w:ind w:firstLine="709"/>
        <w:jc w:val="both"/>
        <w:rPr>
          <w:b/>
          <w:color w:val="000000"/>
          <w:spacing w:val="-2"/>
          <w:sz w:val="28"/>
          <w:szCs w:val="28"/>
          <w:lang w:eastAsia="en-US"/>
        </w:rPr>
      </w:pPr>
      <w:r w:rsidRPr="005B2838">
        <w:rPr>
          <w:color w:val="000000"/>
          <w:spacing w:val="-2"/>
          <w:sz w:val="28"/>
          <w:szCs w:val="28"/>
          <w:lang w:eastAsia="en-US"/>
        </w:rPr>
        <w:lastRenderedPageBreak/>
        <w:t>Уровень госпитализации на геронтологические койки лиц старше 60 лет на 10 тыс. населения соответствующего возраста, (</w:t>
      </w:r>
      <w:proofErr w:type="spellStart"/>
      <w:r w:rsidRPr="005B2838">
        <w:rPr>
          <w:color w:val="000000"/>
          <w:spacing w:val="-2"/>
          <w:sz w:val="28"/>
          <w:szCs w:val="28"/>
          <w:lang w:eastAsia="en-US"/>
        </w:rPr>
        <w:t>усл.ед</w:t>
      </w:r>
      <w:proofErr w:type="spellEnd"/>
      <w:r w:rsidRPr="005B2838">
        <w:rPr>
          <w:color w:val="000000"/>
          <w:spacing w:val="-2"/>
          <w:sz w:val="28"/>
          <w:szCs w:val="28"/>
          <w:lang w:eastAsia="en-US"/>
        </w:rPr>
        <w:t>.):</w:t>
      </w:r>
      <w:r w:rsidRPr="005B2838">
        <w:rPr>
          <w:b/>
          <w:color w:val="000000"/>
          <w:spacing w:val="-2"/>
          <w:sz w:val="28"/>
          <w:szCs w:val="28"/>
          <w:lang w:eastAsia="en-US"/>
        </w:rPr>
        <w:t xml:space="preserve"> – 20,4</w:t>
      </w:r>
      <w:r w:rsidR="000F762A">
        <w:rPr>
          <w:b/>
          <w:color w:val="000000"/>
          <w:spacing w:val="-2"/>
          <w:sz w:val="28"/>
          <w:szCs w:val="28"/>
          <w:lang w:eastAsia="en-US"/>
        </w:rPr>
        <w:t xml:space="preserve"> (892 чел.)</w:t>
      </w:r>
      <w:r w:rsidRPr="005B2838">
        <w:rPr>
          <w:b/>
          <w:color w:val="000000"/>
          <w:spacing w:val="-2"/>
          <w:sz w:val="28"/>
          <w:szCs w:val="28"/>
          <w:lang w:eastAsia="en-US"/>
        </w:rPr>
        <w:t xml:space="preserve"> (140,7% от планового показателя)</w:t>
      </w:r>
      <w:r w:rsidR="00A45911">
        <w:rPr>
          <w:b/>
          <w:color w:val="000000"/>
          <w:spacing w:val="-2"/>
          <w:sz w:val="28"/>
          <w:szCs w:val="28"/>
          <w:lang w:eastAsia="en-US"/>
        </w:rPr>
        <w:t>.</w:t>
      </w:r>
      <w:r w:rsidRPr="005B2838">
        <w:rPr>
          <w:color w:val="000000"/>
          <w:spacing w:val="-2"/>
          <w:sz w:val="28"/>
          <w:szCs w:val="28"/>
          <w:lang w:eastAsia="en-US"/>
        </w:rPr>
        <w:t xml:space="preserve">  </w:t>
      </w:r>
    </w:p>
    <w:p w:rsidR="005B2838" w:rsidRPr="005B2838" w:rsidRDefault="005B2838" w:rsidP="005B2838">
      <w:pPr>
        <w:widowControl/>
        <w:autoSpaceDE/>
        <w:autoSpaceDN/>
        <w:adjustRightInd/>
        <w:ind w:firstLine="709"/>
        <w:jc w:val="both"/>
        <w:rPr>
          <w:color w:val="000000"/>
          <w:spacing w:val="-2"/>
          <w:sz w:val="28"/>
          <w:szCs w:val="28"/>
          <w:lang w:eastAsia="en-US"/>
        </w:rPr>
      </w:pPr>
      <w:r w:rsidRPr="005B2838">
        <w:rPr>
          <w:color w:val="000000"/>
          <w:spacing w:val="-2"/>
          <w:sz w:val="28"/>
          <w:szCs w:val="28"/>
          <w:lang w:eastAsia="en-US"/>
        </w:rPr>
        <w:t xml:space="preserve">Охват граждан старше трудоспособного возраста  профилактическими осмотрами, включая диспансеризацию (процент): - </w:t>
      </w:r>
      <w:r w:rsidRPr="005B2838">
        <w:rPr>
          <w:b/>
          <w:color w:val="000000"/>
          <w:spacing w:val="-2"/>
          <w:sz w:val="28"/>
          <w:szCs w:val="28"/>
          <w:lang w:eastAsia="en-US"/>
        </w:rPr>
        <w:t>31,8</w:t>
      </w:r>
      <w:r w:rsidR="00EF7DF5">
        <w:rPr>
          <w:b/>
          <w:color w:val="000000"/>
          <w:spacing w:val="-2"/>
          <w:sz w:val="28"/>
          <w:szCs w:val="28"/>
          <w:lang w:eastAsia="en-US"/>
        </w:rPr>
        <w:t xml:space="preserve"> (</w:t>
      </w:r>
      <w:r w:rsidR="00EF7DF5">
        <w:rPr>
          <w:b/>
          <w:color w:val="000000"/>
          <w:spacing w:val="-2"/>
          <w:sz w:val="28"/>
          <w:szCs w:val="28"/>
        </w:rPr>
        <w:t xml:space="preserve">164 465 чел.) - </w:t>
      </w:r>
      <w:r w:rsidR="00EF7DF5">
        <w:rPr>
          <w:b/>
          <w:color w:val="000000"/>
          <w:spacing w:val="-2"/>
          <w:sz w:val="28"/>
          <w:szCs w:val="28"/>
          <w:lang w:eastAsia="en-US"/>
        </w:rPr>
        <w:t xml:space="preserve"> </w:t>
      </w:r>
      <w:r w:rsidRPr="005B2838">
        <w:rPr>
          <w:b/>
          <w:i/>
          <w:color w:val="000000"/>
          <w:spacing w:val="-2"/>
          <w:sz w:val="28"/>
          <w:szCs w:val="28"/>
          <w:lang w:eastAsia="en-US"/>
        </w:rPr>
        <w:t xml:space="preserve"> </w:t>
      </w:r>
      <w:r w:rsidR="00EF7DF5">
        <w:rPr>
          <w:b/>
          <w:i/>
          <w:color w:val="000000"/>
          <w:spacing w:val="-2"/>
          <w:sz w:val="28"/>
          <w:szCs w:val="28"/>
          <w:lang w:eastAsia="en-US"/>
        </w:rPr>
        <w:t xml:space="preserve"> </w:t>
      </w:r>
      <w:r w:rsidR="00EF7DF5" w:rsidRPr="00EF7DF5">
        <w:rPr>
          <w:color w:val="000000"/>
          <w:spacing w:val="-2"/>
          <w:sz w:val="28"/>
          <w:szCs w:val="28"/>
          <w:lang w:eastAsia="en-US"/>
        </w:rPr>
        <w:t>исполнение составило</w:t>
      </w:r>
      <w:r w:rsidR="00EF7DF5">
        <w:rPr>
          <w:b/>
          <w:i/>
          <w:color w:val="000000"/>
          <w:spacing w:val="-2"/>
          <w:sz w:val="28"/>
          <w:szCs w:val="28"/>
          <w:lang w:eastAsia="en-US"/>
        </w:rPr>
        <w:t xml:space="preserve"> </w:t>
      </w:r>
      <w:r w:rsidRPr="005B2838">
        <w:rPr>
          <w:b/>
          <w:color w:val="000000"/>
          <w:spacing w:val="-2"/>
          <w:sz w:val="28"/>
          <w:szCs w:val="28"/>
          <w:lang w:eastAsia="en-US"/>
        </w:rPr>
        <w:t>133,2%</w:t>
      </w:r>
      <w:r w:rsidRPr="005B2838">
        <w:rPr>
          <w:color w:val="000000"/>
          <w:spacing w:val="-2"/>
          <w:sz w:val="28"/>
          <w:szCs w:val="28"/>
          <w:lang w:eastAsia="en-US"/>
        </w:rPr>
        <w:t xml:space="preserve"> </w:t>
      </w:r>
      <w:r w:rsidR="00A45911">
        <w:rPr>
          <w:color w:val="000000"/>
          <w:spacing w:val="-2"/>
          <w:sz w:val="28"/>
          <w:szCs w:val="28"/>
          <w:lang w:eastAsia="en-US"/>
        </w:rPr>
        <w:t>.</w:t>
      </w:r>
      <w:r w:rsidRPr="005B2838">
        <w:rPr>
          <w:color w:val="000000"/>
          <w:spacing w:val="-2"/>
          <w:sz w:val="28"/>
          <w:szCs w:val="28"/>
          <w:lang w:eastAsia="en-US"/>
        </w:rPr>
        <w:t xml:space="preserve">          </w:t>
      </w:r>
    </w:p>
    <w:p w:rsidR="005B2838" w:rsidRPr="005B2838" w:rsidRDefault="005B2838" w:rsidP="005B2838">
      <w:pPr>
        <w:widowControl/>
        <w:tabs>
          <w:tab w:val="left" w:pos="5895"/>
        </w:tabs>
        <w:autoSpaceDE/>
        <w:autoSpaceDN/>
        <w:adjustRightInd/>
        <w:ind w:firstLine="709"/>
        <w:jc w:val="both"/>
        <w:rPr>
          <w:color w:val="000000"/>
          <w:spacing w:val="-2"/>
          <w:sz w:val="28"/>
          <w:szCs w:val="28"/>
          <w:lang w:eastAsia="en-US"/>
        </w:rPr>
      </w:pPr>
      <w:r w:rsidRPr="005B2838">
        <w:rPr>
          <w:color w:val="000000"/>
          <w:spacing w:val="-2"/>
          <w:sz w:val="28"/>
          <w:szCs w:val="28"/>
          <w:lang w:eastAsia="en-US"/>
        </w:rPr>
        <w:t xml:space="preserve">Доля лиц старше трудоспособного возраста, у которых выявлены заболевания и патологические состояния, находящихся под диспансерным наблюдением (процент): базовое значение: </w:t>
      </w:r>
      <w:r w:rsidRPr="005B2838">
        <w:rPr>
          <w:b/>
          <w:color w:val="000000"/>
          <w:spacing w:val="-2"/>
          <w:sz w:val="28"/>
          <w:szCs w:val="28"/>
          <w:lang w:eastAsia="en-US"/>
        </w:rPr>
        <w:t>48,0 (100,0%).</w:t>
      </w:r>
      <w:r w:rsidR="00360D50">
        <w:rPr>
          <w:b/>
          <w:color w:val="000000"/>
          <w:spacing w:val="-2"/>
          <w:sz w:val="28"/>
          <w:szCs w:val="28"/>
          <w:lang w:eastAsia="en-US"/>
        </w:rPr>
        <w:t xml:space="preserve"> </w:t>
      </w:r>
      <w:r w:rsidR="00360D50" w:rsidRPr="00360D50">
        <w:rPr>
          <w:color w:val="000000"/>
          <w:spacing w:val="-2"/>
          <w:sz w:val="28"/>
          <w:szCs w:val="28"/>
        </w:rPr>
        <w:t>Выявлены заболевания и патологические состояния у 378 673 лиц старше трудоспособного возраста, взяты под диспансерное наблюдение  252 425 больных</w:t>
      </w:r>
      <w:r w:rsidR="00360D50">
        <w:rPr>
          <w:color w:val="000000"/>
          <w:spacing w:val="-2"/>
          <w:sz w:val="28"/>
          <w:szCs w:val="28"/>
        </w:rPr>
        <w:t>.</w:t>
      </w:r>
    </w:p>
    <w:p w:rsidR="005B2838" w:rsidRPr="005B2838" w:rsidRDefault="005B2838" w:rsidP="005B2838">
      <w:pPr>
        <w:widowControl/>
        <w:tabs>
          <w:tab w:val="left" w:pos="5895"/>
        </w:tabs>
        <w:autoSpaceDE/>
        <w:autoSpaceDN/>
        <w:adjustRightInd/>
        <w:ind w:firstLine="680"/>
        <w:jc w:val="both"/>
        <w:rPr>
          <w:b/>
          <w:color w:val="000000"/>
          <w:spacing w:val="-2"/>
          <w:sz w:val="28"/>
          <w:szCs w:val="28"/>
          <w:lang w:eastAsia="en-US"/>
        </w:rPr>
      </w:pPr>
      <w:r w:rsidRPr="005B2838">
        <w:rPr>
          <w:color w:val="000000"/>
          <w:spacing w:val="-2"/>
          <w:sz w:val="28"/>
          <w:szCs w:val="28"/>
          <w:lang w:eastAsia="en-US"/>
        </w:rPr>
        <w:t xml:space="preserve">Проведена вакцинация  3 715  чел. старше трудоспособного возраста </w:t>
      </w:r>
      <w:r w:rsidRPr="005B2838">
        <w:rPr>
          <w:spacing w:val="-2"/>
          <w:sz w:val="28"/>
          <w:szCs w:val="28"/>
          <w:lang w:eastAsia="en-US"/>
        </w:rPr>
        <w:t>из групп риска, проживающих в организациях социального обслуживания</w:t>
      </w:r>
      <w:r w:rsidRPr="005B2838">
        <w:rPr>
          <w:color w:val="000000"/>
          <w:spacing w:val="-2"/>
          <w:sz w:val="28"/>
          <w:szCs w:val="28"/>
          <w:lang w:eastAsia="en-US"/>
        </w:rPr>
        <w:t xml:space="preserve"> региона, что составило </w:t>
      </w:r>
      <w:r w:rsidRPr="005B2838">
        <w:rPr>
          <w:b/>
          <w:color w:val="000000"/>
          <w:spacing w:val="-2"/>
          <w:sz w:val="28"/>
          <w:szCs w:val="28"/>
          <w:lang w:eastAsia="en-US"/>
        </w:rPr>
        <w:t>96,5%</w:t>
      </w:r>
      <w:r w:rsidRPr="005B2838">
        <w:rPr>
          <w:color w:val="000000"/>
          <w:spacing w:val="-2"/>
          <w:sz w:val="28"/>
          <w:szCs w:val="28"/>
          <w:lang w:eastAsia="en-US"/>
        </w:rPr>
        <w:t xml:space="preserve"> .</w:t>
      </w:r>
      <w:r w:rsidRPr="005B2838">
        <w:rPr>
          <w:b/>
          <w:color w:val="000000"/>
          <w:spacing w:val="-2"/>
          <w:sz w:val="28"/>
          <w:szCs w:val="28"/>
          <w:lang w:eastAsia="en-US"/>
        </w:rPr>
        <w:t xml:space="preserve"> </w:t>
      </w:r>
    </w:p>
    <w:p w:rsidR="00360D50" w:rsidRDefault="00360D50" w:rsidP="00360D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лиц </w:t>
      </w:r>
      <w:proofErr w:type="spellStart"/>
      <w:r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возраста осуществляется  в рамках проекта «Старшее поколение»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61517D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61517D">
        <w:rPr>
          <w:rFonts w:ascii="Times New Roman" w:hAnsi="Times New Roman" w:cs="Times New Roman"/>
          <w:sz w:val="28"/>
          <w:szCs w:val="28"/>
        </w:rPr>
        <w:t xml:space="preserve"> их занятост</w:t>
      </w:r>
      <w:r>
        <w:rPr>
          <w:rFonts w:ascii="Times New Roman" w:hAnsi="Times New Roman" w:cs="Times New Roman"/>
          <w:sz w:val="28"/>
          <w:szCs w:val="28"/>
        </w:rPr>
        <w:t xml:space="preserve">и или трудоустройства. Обучение </w:t>
      </w:r>
      <w:r w:rsidRPr="0061517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вает</w:t>
      </w:r>
      <w:r w:rsidRPr="006151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развития имеющихся и приобретения новых знаний и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и способствует </w:t>
      </w:r>
      <w:r w:rsidRPr="0061517D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шению</w:t>
      </w:r>
      <w:r w:rsidRPr="0061517D">
        <w:rPr>
          <w:rFonts w:ascii="Times New Roman" w:hAnsi="Times New Roman" w:cs="Times New Roman"/>
          <w:sz w:val="28"/>
          <w:szCs w:val="28"/>
        </w:rPr>
        <w:t xml:space="preserve"> конкурентоспособност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5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на рынке труда.</w:t>
      </w:r>
    </w:p>
    <w:p w:rsidR="000E6438" w:rsidRPr="000E6438" w:rsidRDefault="000E6438" w:rsidP="000E6438">
      <w:pPr>
        <w:widowControl/>
        <w:tabs>
          <w:tab w:val="left" w:pos="5895"/>
        </w:tabs>
        <w:autoSpaceDE/>
        <w:autoSpaceDN/>
        <w:adjustRightInd/>
        <w:ind w:firstLine="680"/>
        <w:jc w:val="both"/>
        <w:rPr>
          <w:color w:val="000000"/>
          <w:spacing w:val="-2"/>
          <w:sz w:val="28"/>
          <w:szCs w:val="28"/>
          <w:lang w:eastAsia="en-US"/>
        </w:rPr>
      </w:pPr>
      <w:r w:rsidRPr="005B2838">
        <w:rPr>
          <w:color w:val="000000"/>
          <w:spacing w:val="-2"/>
          <w:sz w:val="28"/>
          <w:szCs w:val="28"/>
          <w:lang w:eastAsia="en-US"/>
        </w:rPr>
        <w:t xml:space="preserve">Численность граждан </w:t>
      </w:r>
      <w:proofErr w:type="spellStart"/>
      <w:r w:rsidRPr="005B2838">
        <w:rPr>
          <w:color w:val="000000"/>
          <w:spacing w:val="-2"/>
          <w:sz w:val="28"/>
          <w:szCs w:val="28"/>
          <w:lang w:eastAsia="en-US"/>
        </w:rPr>
        <w:t>предпенсионного</w:t>
      </w:r>
      <w:proofErr w:type="spellEnd"/>
      <w:r w:rsidRPr="005B2838">
        <w:rPr>
          <w:color w:val="000000"/>
          <w:spacing w:val="-2"/>
          <w:sz w:val="28"/>
          <w:szCs w:val="28"/>
          <w:lang w:eastAsia="en-US"/>
        </w:rPr>
        <w:t xml:space="preserve"> возраста, прошедших </w:t>
      </w:r>
      <w:r>
        <w:rPr>
          <w:color w:val="000000"/>
          <w:spacing w:val="-2"/>
          <w:sz w:val="28"/>
          <w:szCs w:val="28"/>
          <w:lang w:eastAsia="en-US"/>
        </w:rPr>
        <w:t xml:space="preserve">в 2019 году </w:t>
      </w:r>
      <w:r w:rsidRPr="005B2838">
        <w:rPr>
          <w:color w:val="000000"/>
          <w:spacing w:val="-2"/>
          <w:sz w:val="28"/>
          <w:szCs w:val="28"/>
          <w:lang w:eastAsia="en-US"/>
        </w:rPr>
        <w:t>профессиональное обучение и дополнительное профессиональное образование составило 523 чел., (174,9% от планового показателя).</w:t>
      </w:r>
    </w:p>
    <w:p w:rsidR="000E6438" w:rsidRDefault="000E6438" w:rsidP="000E64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2019 году г</w:t>
      </w:r>
      <w:r w:rsidRPr="000E6438">
        <w:rPr>
          <w:rFonts w:eastAsiaTheme="minorHAnsi"/>
          <w:sz w:val="28"/>
          <w:szCs w:val="28"/>
          <w:lang w:eastAsia="en-US"/>
        </w:rPr>
        <w:t xml:space="preserve">раждане </w:t>
      </w:r>
      <w:proofErr w:type="spellStart"/>
      <w:r w:rsidRPr="000E6438">
        <w:rPr>
          <w:rFonts w:eastAsiaTheme="minorHAnsi"/>
          <w:sz w:val="28"/>
          <w:szCs w:val="28"/>
          <w:lang w:eastAsia="en-US"/>
        </w:rPr>
        <w:t>предпенсионного</w:t>
      </w:r>
      <w:proofErr w:type="spellEnd"/>
      <w:r w:rsidRPr="000E6438">
        <w:rPr>
          <w:rFonts w:eastAsiaTheme="minorHAnsi"/>
          <w:sz w:val="28"/>
          <w:szCs w:val="28"/>
          <w:lang w:eastAsia="en-US"/>
        </w:rPr>
        <w:t xml:space="preserve"> возраста повысили квалификацию, прошли профессиональное обучение по 52 специальностям (программам обучения) с учетом заявок граждан и работодателей. </w:t>
      </w:r>
    </w:p>
    <w:p w:rsidR="000E6438" w:rsidRPr="000E6438" w:rsidRDefault="000E6438" w:rsidP="000E6438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6438">
        <w:rPr>
          <w:rFonts w:eastAsiaTheme="minorHAnsi"/>
          <w:sz w:val="28"/>
          <w:szCs w:val="28"/>
          <w:lang w:eastAsia="en-US"/>
        </w:rPr>
        <w:t>В образовательные программы включены дополнительные модули по актуальным компетенциям: «бережливое производство», «охрана труда», «наставничество», «оказанию первой медицинской помощи»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6438">
        <w:rPr>
          <w:rFonts w:eastAsiaTheme="minorHAnsi"/>
          <w:sz w:val="28"/>
          <w:szCs w:val="28"/>
          <w:lang w:eastAsia="en-US"/>
        </w:rPr>
        <w:t>и т.д. При реализации обучающих программ широко используются как обычные технологии обучения с отрывом и без отрыва от производства, так и технологии дистанционного обучения.</w:t>
      </w:r>
    </w:p>
    <w:p w:rsidR="000E6438" w:rsidRPr="000E6438" w:rsidRDefault="000E6438" w:rsidP="000E643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proofErr w:type="gramStart"/>
      <w:r w:rsidRPr="000E6438">
        <w:rPr>
          <w:sz w:val="28"/>
          <w:szCs w:val="28"/>
        </w:rPr>
        <w:t>В обучении работников активно участвовали крупные предприятия области – ПАО «</w:t>
      </w:r>
      <w:proofErr w:type="spellStart"/>
      <w:r w:rsidRPr="000E6438">
        <w:rPr>
          <w:sz w:val="28"/>
          <w:szCs w:val="28"/>
        </w:rPr>
        <w:t>Выбргский</w:t>
      </w:r>
      <w:proofErr w:type="spellEnd"/>
      <w:r w:rsidRPr="000E6438">
        <w:rPr>
          <w:sz w:val="28"/>
          <w:szCs w:val="28"/>
        </w:rPr>
        <w:t xml:space="preserve"> судостроительный завод» (ВСЗ), ООО «</w:t>
      </w:r>
      <w:proofErr w:type="spellStart"/>
      <w:r w:rsidRPr="000E6438">
        <w:rPr>
          <w:sz w:val="28"/>
          <w:szCs w:val="28"/>
        </w:rPr>
        <w:t>Бокситогорское</w:t>
      </w:r>
      <w:proofErr w:type="spellEnd"/>
      <w:r w:rsidRPr="000E6438">
        <w:rPr>
          <w:sz w:val="28"/>
          <w:szCs w:val="28"/>
        </w:rPr>
        <w:t xml:space="preserve"> электромеханическое предприятие» (БЭМП), ПАО «Русский алюминий» (РУСАЛ), АО «Ленинградская областная электросетевая компания» (ЛОЭСК), АО «Новая Голландия» и др. по программам, разработанным совместно с работодателями, включающими дополнительные модули «наставничество», «бережливое производство», «охрана труда», «оказание первой помощи» и др. </w:t>
      </w:r>
      <w:proofErr w:type="gramEnd"/>
    </w:p>
    <w:p w:rsidR="000E6438" w:rsidRPr="000E6438" w:rsidRDefault="000E6438" w:rsidP="000E6438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E6438">
        <w:rPr>
          <w:rFonts w:eastAsiaTheme="minorHAnsi"/>
          <w:color w:val="000000"/>
          <w:sz w:val="28"/>
          <w:szCs w:val="28"/>
          <w:lang w:eastAsia="en-US"/>
        </w:rPr>
        <w:t xml:space="preserve">По итогам организации обучения проведен мониторинг сохранения занятости обученными гражданами </w:t>
      </w:r>
      <w:proofErr w:type="spellStart"/>
      <w:r w:rsidRPr="000E6438">
        <w:rPr>
          <w:rFonts w:eastAsiaTheme="minorHAnsi"/>
          <w:color w:val="000000"/>
          <w:sz w:val="28"/>
          <w:szCs w:val="28"/>
          <w:lang w:eastAsia="en-US"/>
        </w:rPr>
        <w:t>предпенсионного</w:t>
      </w:r>
      <w:proofErr w:type="spellEnd"/>
      <w:r w:rsidRPr="000E6438">
        <w:rPr>
          <w:rFonts w:eastAsiaTheme="minorHAnsi"/>
          <w:color w:val="000000"/>
          <w:sz w:val="28"/>
          <w:szCs w:val="28"/>
          <w:lang w:eastAsia="en-US"/>
        </w:rPr>
        <w:t xml:space="preserve"> возраста. Сохранили занятость 94,8 %.</w:t>
      </w:r>
    </w:p>
    <w:p w:rsidR="001E1CF7" w:rsidRDefault="001E1CF7" w:rsidP="001E1CF7">
      <w:pPr>
        <w:widowControl/>
        <w:ind w:right="125"/>
        <w:rPr>
          <w:rFonts w:eastAsiaTheme="minorHAnsi"/>
          <w:b/>
          <w:sz w:val="28"/>
          <w:szCs w:val="28"/>
          <w:lang w:eastAsia="en-US"/>
        </w:rPr>
        <w:sectPr w:rsidR="001E1CF7" w:rsidSect="001E1CF7"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:rsidR="001E1CF7" w:rsidRPr="00BE71DE" w:rsidRDefault="001E1CF7" w:rsidP="001E1CF7">
      <w:pPr>
        <w:widowControl/>
        <w:ind w:right="125"/>
        <w:rPr>
          <w:rFonts w:eastAsiaTheme="minorHAnsi"/>
          <w:b/>
          <w:sz w:val="28"/>
          <w:szCs w:val="28"/>
          <w:lang w:eastAsia="en-US"/>
        </w:rPr>
      </w:pPr>
    </w:p>
    <w:p w:rsidR="00777345" w:rsidRPr="00BE71DE" w:rsidRDefault="00777345" w:rsidP="00777345">
      <w:pPr>
        <w:widowControl/>
        <w:ind w:right="125"/>
        <w:jc w:val="center"/>
        <w:rPr>
          <w:rFonts w:eastAsiaTheme="minorHAnsi"/>
          <w:b/>
          <w:sz w:val="28"/>
          <w:szCs w:val="28"/>
          <w:lang w:eastAsia="en-US"/>
        </w:rPr>
      </w:pPr>
      <w:r w:rsidRPr="005B2838">
        <w:rPr>
          <w:rFonts w:eastAsiaTheme="minorHAnsi"/>
          <w:b/>
          <w:sz w:val="28"/>
          <w:szCs w:val="28"/>
          <w:lang w:eastAsia="en-US"/>
        </w:rPr>
        <w:t xml:space="preserve">Показатели проекта </w:t>
      </w:r>
    </w:p>
    <w:p w:rsidR="009329DE" w:rsidRPr="005B2838" w:rsidRDefault="009329DE" w:rsidP="00777345">
      <w:pPr>
        <w:widowControl/>
        <w:ind w:right="125"/>
        <w:jc w:val="center"/>
        <w:rPr>
          <w:rFonts w:eastAsiaTheme="minorHAnsi"/>
          <w:i/>
          <w:color w:val="FF0000"/>
          <w:sz w:val="24"/>
          <w:szCs w:val="24"/>
          <w:lang w:eastAsia="en-US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993"/>
        <w:gridCol w:w="1134"/>
        <w:gridCol w:w="850"/>
        <w:gridCol w:w="709"/>
        <w:gridCol w:w="992"/>
        <w:gridCol w:w="1418"/>
        <w:gridCol w:w="1134"/>
        <w:gridCol w:w="992"/>
        <w:gridCol w:w="850"/>
      </w:tblGrid>
      <w:tr w:rsidR="00777345" w:rsidRPr="005B2838" w:rsidTr="00121258">
        <w:trPr>
          <w:trHeight w:val="223"/>
        </w:trPr>
        <w:tc>
          <w:tcPr>
            <w:tcW w:w="3970" w:type="dxa"/>
            <w:vMerge w:val="restart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B2838">
              <w:rPr>
                <w:rFonts w:eastAsia="Calibri"/>
                <w:b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B2838">
              <w:rPr>
                <w:rFonts w:eastAsia="Calibri"/>
                <w:b/>
                <w:lang w:eastAsia="en-US"/>
              </w:rPr>
              <w:t>Тип показателя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B2838">
              <w:rPr>
                <w:rFonts w:eastAsia="Calibri"/>
                <w:b/>
                <w:lang w:eastAsia="en-US"/>
              </w:rPr>
              <w:t>Базовое значение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B2838">
              <w:rPr>
                <w:rFonts w:eastAsia="Calibri"/>
                <w:b/>
                <w:lang w:eastAsia="en-US"/>
              </w:rPr>
              <w:t>Период, год</w:t>
            </w:r>
          </w:p>
        </w:tc>
      </w:tr>
      <w:tr w:rsidR="00777345" w:rsidRPr="005B2838" w:rsidTr="00121258">
        <w:trPr>
          <w:trHeight w:val="527"/>
        </w:trPr>
        <w:tc>
          <w:tcPr>
            <w:tcW w:w="3970" w:type="dxa"/>
            <w:vMerge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5B2838">
              <w:rPr>
                <w:rFonts w:eastAsia="Calibri"/>
                <w:b/>
                <w:lang w:eastAsia="en-US"/>
              </w:rPr>
              <w:t>Зна</w:t>
            </w:r>
            <w:proofErr w:type="spellEnd"/>
            <w:r w:rsidRPr="005B2838">
              <w:rPr>
                <w:rFonts w:eastAsia="Calibri"/>
                <w:b/>
                <w:lang w:eastAsia="en-US"/>
              </w:rPr>
              <w:t>-че-</w:t>
            </w:r>
            <w:proofErr w:type="spellStart"/>
            <w:r w:rsidRPr="005B2838">
              <w:rPr>
                <w:rFonts w:eastAsia="Calibri"/>
                <w:b/>
                <w:lang w:eastAsia="en-US"/>
              </w:rPr>
              <w:t>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FF0000"/>
                <w:lang w:eastAsia="en-US"/>
              </w:rPr>
            </w:pPr>
            <w:r w:rsidRPr="005B2838">
              <w:rPr>
                <w:rFonts w:eastAsia="Calibri"/>
                <w:b/>
                <w:lang w:eastAsia="en-US"/>
              </w:rPr>
              <w:t>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B2838">
              <w:rPr>
                <w:rFonts w:eastAsia="Calibri"/>
                <w:b/>
                <w:lang w:val="en-US" w:eastAsia="en-US"/>
              </w:rPr>
              <w:t>2019</w:t>
            </w:r>
          </w:p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B2838">
              <w:rPr>
                <w:rFonts w:eastAsia="Calibri"/>
                <w:b/>
                <w:lang w:eastAsia="en-US"/>
              </w:rPr>
              <w:t>План/факт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val="en-US" w:eastAsia="en-US"/>
              </w:rPr>
            </w:pPr>
            <w:r w:rsidRPr="005B2838">
              <w:rPr>
                <w:rFonts w:eastAsia="Calibri"/>
                <w:b/>
                <w:lang w:val="en-US"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val="en-US" w:eastAsia="en-US"/>
              </w:rPr>
            </w:pPr>
            <w:r w:rsidRPr="005B2838">
              <w:rPr>
                <w:rFonts w:eastAsia="Calibri"/>
                <w:b/>
                <w:lang w:val="en-US" w:eastAsia="en-US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val="en-US" w:eastAsia="en-US"/>
              </w:rPr>
            </w:pPr>
            <w:r w:rsidRPr="005B2838">
              <w:rPr>
                <w:rFonts w:eastAsia="Calibri"/>
                <w:b/>
                <w:lang w:val="en-US" w:eastAsia="en-US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val="en-US" w:eastAsia="en-US"/>
              </w:rPr>
            </w:pPr>
            <w:r w:rsidRPr="005B2838">
              <w:rPr>
                <w:rFonts w:eastAsia="Calibri"/>
                <w:b/>
                <w:lang w:val="en-US" w:eastAsia="en-US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val="en-US" w:eastAsia="en-US"/>
              </w:rPr>
            </w:pPr>
            <w:r w:rsidRPr="005B2838">
              <w:rPr>
                <w:rFonts w:eastAsia="Calibri"/>
                <w:b/>
                <w:lang w:val="en-US" w:eastAsia="en-US"/>
              </w:rPr>
              <w:t>2024</w:t>
            </w:r>
          </w:p>
        </w:tc>
      </w:tr>
      <w:tr w:rsidR="00777345" w:rsidRPr="005B2838" w:rsidTr="00121258">
        <w:trPr>
          <w:trHeight w:val="527"/>
        </w:trPr>
        <w:tc>
          <w:tcPr>
            <w:tcW w:w="397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Ожидаемая продолжительность здоровой жизни при рождении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B2838">
              <w:rPr>
                <w:rFonts w:eastAsia="Calibri"/>
                <w:lang w:eastAsia="en-US"/>
              </w:rPr>
              <w:t>основной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B2838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B2838">
              <w:rPr>
                <w:rFonts w:eastAsia="Calibri"/>
                <w:lang w:eastAsia="en-US"/>
              </w:rPr>
              <w:t>09.</w:t>
            </w:r>
          </w:p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B2838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B283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B283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B2838">
              <w:rPr>
                <w:rFonts w:eastAsia="Calibri"/>
                <w:lang w:eastAsia="en-US"/>
              </w:rPr>
              <w:t>62,2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B2838">
              <w:rPr>
                <w:rFonts w:eastAsia="Calibri"/>
                <w:lang w:eastAsia="en-US"/>
              </w:rPr>
              <w:t>63,4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B2838">
              <w:rPr>
                <w:rFonts w:eastAsia="Calibri"/>
                <w:lang w:eastAsia="en-US"/>
              </w:rPr>
              <w:t>64,6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B2838">
              <w:rPr>
                <w:rFonts w:eastAsia="Calibri"/>
                <w:lang w:eastAsia="en-US"/>
              </w:rPr>
              <w:t>65,8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lang w:eastAsia="en-US"/>
              </w:rPr>
            </w:pPr>
            <w:r w:rsidRPr="005B2838">
              <w:rPr>
                <w:rFonts w:eastAsia="Calibri"/>
                <w:lang w:eastAsia="en-US"/>
              </w:rPr>
              <w:t>67,0</w:t>
            </w:r>
          </w:p>
        </w:tc>
      </w:tr>
      <w:tr w:rsidR="00777345" w:rsidRPr="005B2838" w:rsidTr="00121258">
        <w:trPr>
          <w:trHeight w:val="1160"/>
        </w:trPr>
        <w:tc>
          <w:tcPr>
            <w:tcW w:w="397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ind w:left="85"/>
              <w:jc w:val="center"/>
              <w:rPr>
                <w:rFonts w:eastAsia="Arial Unicode MS"/>
                <w:lang w:eastAsia="en-US"/>
              </w:rPr>
            </w:pPr>
            <w:r w:rsidRPr="005B2838">
              <w:rPr>
                <w:rFonts w:eastAsia="Arial Unicode MS"/>
                <w:lang w:eastAsia="en-US"/>
              </w:rPr>
              <w:t xml:space="preserve">Уровень госпитализации на геронтологические койки лиц старше 60 лет на 10 тыс. населения соответствующего возраста, </w:t>
            </w:r>
            <w:proofErr w:type="spellStart"/>
            <w:r w:rsidRPr="005B2838">
              <w:rPr>
                <w:rFonts w:eastAsia="Arial Unicode MS"/>
                <w:lang w:eastAsia="en-US"/>
              </w:rPr>
              <w:t>усл.ед</w:t>
            </w:r>
            <w:proofErr w:type="spellEnd"/>
            <w:r w:rsidRPr="005B2838">
              <w:rPr>
                <w:rFonts w:eastAsia="Arial Unicode MS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основной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31.12.</w:t>
            </w:r>
          </w:p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14,5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20,4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36,3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55,1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55,1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55,1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55,1</w:t>
            </w:r>
          </w:p>
        </w:tc>
      </w:tr>
      <w:tr w:rsidR="00777345" w:rsidRPr="005B2838" w:rsidTr="00121258">
        <w:trPr>
          <w:trHeight w:val="978"/>
        </w:trPr>
        <w:tc>
          <w:tcPr>
            <w:tcW w:w="397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ind w:left="85" w:right="85"/>
              <w:jc w:val="center"/>
              <w:rPr>
                <w:rFonts w:eastAsia="Arial Unicode MS"/>
                <w:lang w:eastAsia="en-US"/>
              </w:rPr>
            </w:pPr>
            <w:r w:rsidRPr="005B2838">
              <w:rPr>
                <w:rFonts w:eastAsia="Arial Unicode MS"/>
                <w:lang w:eastAsia="en-US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основной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17,15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31.12.</w:t>
            </w:r>
          </w:p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22,3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31,8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27,30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55,7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65,3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70,0</w:t>
            </w:r>
          </w:p>
        </w:tc>
      </w:tr>
      <w:tr w:rsidR="00777345" w:rsidRPr="005B2838" w:rsidTr="00121258">
        <w:trPr>
          <w:trHeight w:val="1559"/>
        </w:trPr>
        <w:tc>
          <w:tcPr>
            <w:tcW w:w="397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ind w:left="85" w:right="85"/>
              <w:jc w:val="center"/>
              <w:rPr>
                <w:rFonts w:eastAsia="Arial Unicode MS"/>
                <w:lang w:eastAsia="en-US"/>
              </w:rPr>
            </w:pPr>
            <w:r w:rsidRPr="005B2838">
              <w:rPr>
                <w:rFonts w:eastAsia="Arial Unicode MS"/>
                <w:lang w:eastAsia="en-US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основной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37,81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31.12.</w:t>
            </w:r>
          </w:p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48,80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48,8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54,70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62,10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69,10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90,0</w:t>
            </w:r>
          </w:p>
        </w:tc>
      </w:tr>
      <w:tr w:rsidR="00777345" w:rsidRPr="005B2838" w:rsidTr="00121258">
        <w:trPr>
          <w:trHeight w:val="1398"/>
        </w:trPr>
        <w:tc>
          <w:tcPr>
            <w:tcW w:w="397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Численность лиц в возрасте от 50-ти лет и старше, а также</w:t>
            </w:r>
          </w:p>
          <w:p w:rsidR="00777345" w:rsidRPr="005B2838" w:rsidRDefault="00777345" w:rsidP="00121258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 xml:space="preserve">лиц </w:t>
            </w:r>
            <w:proofErr w:type="spellStart"/>
            <w:r w:rsidRPr="005B2838">
              <w:rPr>
                <w:rFonts w:eastAsiaTheme="minorHAnsi"/>
                <w:lang w:eastAsia="en-US"/>
              </w:rPr>
              <w:t>предпенсионного</w:t>
            </w:r>
            <w:proofErr w:type="spellEnd"/>
            <w:r w:rsidRPr="005B2838">
              <w:rPr>
                <w:rFonts w:eastAsiaTheme="minorHAnsi"/>
                <w:lang w:eastAsia="en-US"/>
              </w:rPr>
              <w:t xml:space="preserve"> возраста, прошедших</w:t>
            </w:r>
          </w:p>
          <w:p w:rsidR="00777345" w:rsidRPr="005B2838" w:rsidRDefault="00777345" w:rsidP="00121258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профессиональное обучение и дополнительное</w:t>
            </w:r>
          </w:p>
          <w:p w:rsidR="00777345" w:rsidRPr="005B2838" w:rsidRDefault="00777345" w:rsidP="00121258">
            <w:pPr>
              <w:widowControl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B2838">
              <w:rPr>
                <w:rFonts w:eastAsiaTheme="minorHAnsi"/>
                <w:lang w:eastAsia="en-US"/>
              </w:rPr>
              <w:t>профессиональное образование (в 2019 году - граждан</w:t>
            </w:r>
            <w:proofErr w:type="gramEnd"/>
          </w:p>
          <w:p w:rsidR="00777345" w:rsidRPr="005B2838" w:rsidRDefault="00777345" w:rsidP="00121258">
            <w:pPr>
              <w:widowControl/>
              <w:autoSpaceDE/>
              <w:autoSpaceDN/>
              <w:adjustRightInd/>
              <w:ind w:left="85" w:right="85"/>
              <w:jc w:val="center"/>
              <w:rPr>
                <w:rFonts w:eastAsia="Arial Unicode MS"/>
                <w:lang w:eastAsia="en-US"/>
              </w:rPr>
            </w:pPr>
            <w:proofErr w:type="spellStart"/>
            <w:proofErr w:type="gramStart"/>
            <w:r w:rsidRPr="005B2838">
              <w:rPr>
                <w:rFonts w:eastAsiaTheme="minorHAnsi"/>
                <w:lang w:eastAsia="en-US"/>
              </w:rPr>
              <w:t>предпенсионного</w:t>
            </w:r>
            <w:proofErr w:type="spellEnd"/>
            <w:r w:rsidRPr="005B2838">
              <w:rPr>
                <w:rFonts w:eastAsiaTheme="minorHAnsi"/>
                <w:lang w:eastAsia="en-US"/>
              </w:rPr>
              <w:t xml:space="preserve"> возраста)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основной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31.12.</w:t>
            </w:r>
          </w:p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ar-SA"/>
              </w:rPr>
            </w:pPr>
            <w:r w:rsidRPr="005B2838">
              <w:rPr>
                <w:rFonts w:eastAsiaTheme="minorHAnsi"/>
                <w:lang w:eastAsia="ar-SA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299,0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523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609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919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1 229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1 539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345" w:rsidRPr="005B2838" w:rsidRDefault="00777345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5B2838">
              <w:rPr>
                <w:rFonts w:eastAsiaTheme="minorHAnsi"/>
                <w:lang w:eastAsia="en-US"/>
              </w:rPr>
              <w:t>1 849</w:t>
            </w:r>
          </w:p>
        </w:tc>
      </w:tr>
    </w:tbl>
    <w:p w:rsidR="009329DE" w:rsidRDefault="009329DE" w:rsidP="009329DE">
      <w:pPr>
        <w:widowControl/>
        <w:ind w:right="12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329DE" w:rsidRDefault="009329DE" w:rsidP="009329DE">
      <w:pPr>
        <w:widowControl/>
        <w:ind w:right="12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329DE" w:rsidRDefault="009329DE" w:rsidP="009329DE">
      <w:pPr>
        <w:widowControl/>
        <w:ind w:right="12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329DE" w:rsidRDefault="009329DE" w:rsidP="009329DE">
      <w:pPr>
        <w:widowControl/>
        <w:ind w:right="12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329DE" w:rsidRDefault="009329DE" w:rsidP="009329DE">
      <w:pPr>
        <w:widowControl/>
        <w:ind w:right="12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329DE" w:rsidRDefault="009329DE" w:rsidP="009329DE">
      <w:pPr>
        <w:widowControl/>
        <w:ind w:right="12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329DE" w:rsidRPr="009329DE" w:rsidRDefault="009329DE" w:rsidP="009329DE">
      <w:pPr>
        <w:widowControl/>
        <w:ind w:right="127"/>
        <w:jc w:val="center"/>
        <w:rPr>
          <w:rFonts w:eastAsiaTheme="minorHAnsi"/>
          <w:b/>
          <w:sz w:val="28"/>
          <w:szCs w:val="28"/>
          <w:lang w:eastAsia="en-US"/>
        </w:rPr>
      </w:pPr>
      <w:r w:rsidRPr="009329DE">
        <w:rPr>
          <w:rFonts w:eastAsiaTheme="minorHAnsi"/>
          <w:b/>
          <w:sz w:val="28"/>
          <w:szCs w:val="28"/>
          <w:lang w:eastAsia="en-US"/>
        </w:rPr>
        <w:t>Объемы финансирования проекта за период 2019-2024 г.</w:t>
      </w:r>
    </w:p>
    <w:p w:rsidR="005B2838" w:rsidRDefault="005B2838" w:rsidP="0024583F">
      <w:pPr>
        <w:widowControl/>
        <w:autoSpaceDE/>
        <w:autoSpaceDN/>
        <w:adjustRightInd/>
        <w:jc w:val="center"/>
        <w:rPr>
          <w:b/>
        </w:rPr>
      </w:pPr>
    </w:p>
    <w:p w:rsidR="009329DE" w:rsidRPr="00777345" w:rsidRDefault="009329DE" w:rsidP="009329DE">
      <w:pPr>
        <w:widowControl/>
        <w:ind w:right="127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276"/>
        <w:gridCol w:w="1984"/>
        <w:gridCol w:w="1701"/>
        <w:gridCol w:w="1985"/>
        <w:gridCol w:w="1559"/>
        <w:gridCol w:w="1559"/>
        <w:gridCol w:w="2410"/>
      </w:tblGrid>
      <w:tr w:rsidR="009329DE" w:rsidRPr="00777345" w:rsidTr="00121258">
        <w:trPr>
          <w:cantSplit/>
          <w:trHeight w:val="476"/>
          <w:tblHeader/>
        </w:trPr>
        <w:tc>
          <w:tcPr>
            <w:tcW w:w="2438" w:type="dxa"/>
            <w:vMerge w:val="restart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0064" w:type="dxa"/>
            <w:gridSpan w:val="6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Объем финансового обеспечения по годам реализации </w:t>
            </w:r>
          </w:p>
          <w:p w:rsidR="009329DE" w:rsidRPr="00777345" w:rsidRDefault="009329DE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sz w:val="22"/>
                <w:szCs w:val="22"/>
                <w:lang w:eastAsia="en-US"/>
              </w:rPr>
              <w:t>(млн. руб.)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  <w:r w:rsidRPr="00777345">
              <w:rPr>
                <w:rFonts w:eastAsiaTheme="minorHAnsi"/>
                <w:b/>
                <w:sz w:val="22"/>
                <w:szCs w:val="22"/>
                <w:lang w:eastAsia="en-US"/>
              </w:rPr>
              <w:br/>
              <w:t>(</w:t>
            </w:r>
            <w:proofErr w:type="gramStart"/>
            <w:r w:rsidRPr="00777345">
              <w:rPr>
                <w:rFonts w:eastAsiaTheme="minorHAnsi"/>
                <w:b/>
                <w:sz w:val="22"/>
                <w:szCs w:val="22"/>
                <w:lang w:eastAsia="en-US"/>
              </w:rPr>
              <w:t>млн</w:t>
            </w:r>
            <w:proofErr w:type="gramEnd"/>
            <w:r w:rsidRPr="0077734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руб.)</w:t>
            </w:r>
          </w:p>
        </w:tc>
      </w:tr>
      <w:tr w:rsidR="009329DE" w:rsidRPr="00777345" w:rsidTr="00121258">
        <w:trPr>
          <w:cantSplit/>
          <w:trHeight w:val="248"/>
          <w:tblHeader/>
        </w:trPr>
        <w:tc>
          <w:tcPr>
            <w:tcW w:w="2438" w:type="dxa"/>
            <w:vMerge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6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9329DE" w:rsidRPr="00777345" w:rsidTr="00121258">
        <w:trPr>
          <w:cantSplit/>
        </w:trPr>
        <w:tc>
          <w:tcPr>
            <w:tcW w:w="2438" w:type="dxa"/>
            <w:shd w:val="clear" w:color="auto" w:fill="auto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60"/>
              <w:ind w:left="142"/>
              <w:rPr>
                <w:rFonts w:eastAsiaTheme="minorHAnsi"/>
                <w:b/>
                <w:i/>
                <w:sz w:val="24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i/>
                <w:sz w:val="24"/>
                <w:szCs w:val="22"/>
                <w:lang w:eastAsia="en-US"/>
              </w:rPr>
              <w:t>Всего, 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67,3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25,32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25,32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25,32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143,26</w:t>
            </w:r>
          </w:p>
        </w:tc>
      </w:tr>
      <w:tr w:rsidR="009329DE" w:rsidRPr="00777345" w:rsidTr="00121258">
        <w:trPr>
          <w:cantSplit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60"/>
              <w:ind w:left="142"/>
              <w:jc w:val="both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66,28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17,12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17,12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17,12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117,64</w:t>
            </w:r>
          </w:p>
        </w:tc>
      </w:tr>
      <w:tr w:rsidR="009329DE" w:rsidRPr="00777345" w:rsidTr="00121258">
        <w:trPr>
          <w:cantSplit/>
        </w:trPr>
        <w:tc>
          <w:tcPr>
            <w:tcW w:w="2438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60"/>
              <w:ind w:left="142"/>
              <w:jc w:val="both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вакцинация (комитет по здравоохранению)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5,033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0, 4686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0,4682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6,44</w:t>
            </w:r>
          </w:p>
        </w:tc>
      </w:tr>
      <w:tr w:rsidR="009329DE" w:rsidRPr="00777345" w:rsidTr="00121258">
        <w:trPr>
          <w:cantSplit/>
        </w:trPr>
        <w:tc>
          <w:tcPr>
            <w:tcW w:w="2438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60"/>
              <w:ind w:left="142"/>
              <w:jc w:val="both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 xml:space="preserve">обучение </w:t>
            </w:r>
            <w:proofErr w:type="spellStart"/>
            <w:r w:rsidRPr="00777345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предпенсионеров</w:t>
            </w:r>
            <w:proofErr w:type="spellEnd"/>
            <w:r w:rsidRPr="00777345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 xml:space="preserve"> (комитет по труду и занятости населения)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69,39</w:t>
            </w:r>
          </w:p>
        </w:tc>
      </w:tr>
      <w:tr w:rsidR="009329DE" w:rsidRPr="00777345" w:rsidTr="00121258">
        <w:trPr>
          <w:cantSplit/>
        </w:trPr>
        <w:tc>
          <w:tcPr>
            <w:tcW w:w="2438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60"/>
              <w:ind w:left="142"/>
              <w:jc w:val="both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Приобретение автотранспорта (комитет по социальной защите населения)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41,8</w:t>
            </w:r>
          </w:p>
        </w:tc>
      </w:tr>
      <w:tr w:rsidR="009329DE" w:rsidRPr="00777345" w:rsidTr="00121258">
        <w:trPr>
          <w:cantSplit/>
        </w:trPr>
        <w:tc>
          <w:tcPr>
            <w:tcW w:w="2438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60"/>
              <w:ind w:left="142"/>
              <w:jc w:val="both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4"/>
                <w:szCs w:val="22"/>
                <w:lang w:eastAsia="en-US"/>
              </w:rPr>
              <w:t>консолидированный бюджет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1,02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8,2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77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25,62</w:t>
            </w:r>
          </w:p>
        </w:tc>
      </w:tr>
      <w:tr w:rsidR="009329DE" w:rsidRPr="00777345" w:rsidTr="00121258">
        <w:trPr>
          <w:cantSplit/>
        </w:trPr>
        <w:tc>
          <w:tcPr>
            <w:tcW w:w="2438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60"/>
              <w:ind w:left="142"/>
              <w:jc w:val="both"/>
              <w:rPr>
                <w:rFonts w:eastAsiaTheme="minorHAnsi"/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329DE" w:rsidRPr="00777345" w:rsidRDefault="009329DE" w:rsidP="0012125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329DE" w:rsidRDefault="009329DE" w:rsidP="009329DE">
      <w:pPr>
        <w:adjustRightInd/>
        <w:ind w:firstLine="709"/>
        <w:jc w:val="both"/>
        <w:rPr>
          <w:sz w:val="28"/>
          <w:szCs w:val="28"/>
        </w:rPr>
      </w:pPr>
    </w:p>
    <w:p w:rsidR="009329DE" w:rsidRPr="0024583F" w:rsidRDefault="009329DE" w:rsidP="0024583F">
      <w:pPr>
        <w:widowControl/>
        <w:autoSpaceDE/>
        <w:autoSpaceDN/>
        <w:adjustRightInd/>
        <w:jc w:val="center"/>
        <w:rPr>
          <w:b/>
        </w:rPr>
      </w:pPr>
    </w:p>
    <w:sectPr w:rsidR="009329DE" w:rsidRPr="0024583F" w:rsidSect="009329DE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88"/>
    <w:rsid w:val="000E6438"/>
    <w:rsid w:val="000F762A"/>
    <w:rsid w:val="001E1CF7"/>
    <w:rsid w:val="001F4BCA"/>
    <w:rsid w:val="0024583F"/>
    <w:rsid w:val="00360D50"/>
    <w:rsid w:val="00454B2A"/>
    <w:rsid w:val="005A2F88"/>
    <w:rsid w:val="005B2838"/>
    <w:rsid w:val="005F39FA"/>
    <w:rsid w:val="00777345"/>
    <w:rsid w:val="0079612D"/>
    <w:rsid w:val="009329DE"/>
    <w:rsid w:val="00A45911"/>
    <w:rsid w:val="00B239D5"/>
    <w:rsid w:val="00B46666"/>
    <w:rsid w:val="00B52A83"/>
    <w:rsid w:val="00BE71DE"/>
    <w:rsid w:val="00CA3213"/>
    <w:rsid w:val="00E52810"/>
    <w:rsid w:val="00EA2C40"/>
    <w:rsid w:val="00EF7DF5"/>
    <w:rsid w:val="00F6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666"/>
    <w:rPr>
      <w:color w:val="0000FF"/>
      <w:u w:val="single"/>
    </w:rPr>
  </w:style>
  <w:style w:type="paragraph" w:customStyle="1" w:styleId="1">
    <w:name w:val="Абзац списка1"/>
    <w:basedOn w:val="a"/>
    <w:rsid w:val="00A45911"/>
    <w:pPr>
      <w:widowControl/>
      <w:autoSpaceDE/>
      <w:autoSpaceDN/>
      <w:adjustRightInd/>
      <w:spacing w:after="200" w:line="360" w:lineRule="exact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360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0D5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6666"/>
    <w:rPr>
      <w:color w:val="0000FF"/>
      <w:u w:val="single"/>
    </w:rPr>
  </w:style>
  <w:style w:type="paragraph" w:customStyle="1" w:styleId="1">
    <w:name w:val="Абзац списка1"/>
    <w:basedOn w:val="a"/>
    <w:rsid w:val="00A45911"/>
    <w:pPr>
      <w:widowControl/>
      <w:autoSpaceDE/>
      <w:autoSpaceDN/>
      <w:adjustRightInd/>
      <w:spacing w:after="200" w:line="360" w:lineRule="exact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360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0D5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Оксана Анатольевна</dc:creator>
  <cp:keywords/>
  <dc:description/>
  <cp:lastModifiedBy>Мирошниченко Оксана Анатольевна</cp:lastModifiedBy>
  <cp:revision>13</cp:revision>
  <dcterms:created xsi:type="dcterms:W3CDTF">2020-01-20T06:44:00Z</dcterms:created>
  <dcterms:modified xsi:type="dcterms:W3CDTF">2020-01-30T14:50:00Z</dcterms:modified>
</cp:coreProperties>
</file>