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1" w:rsidRDefault="00E744CA">
      <w:pPr>
        <w:pStyle w:val="ConsPlusNormal"/>
      </w:pPr>
      <w:r>
        <w:t xml:space="preserve"> </w:t>
      </w:r>
    </w:p>
    <w:p w:rsidR="000D1721" w:rsidRDefault="000D1721">
      <w:pPr>
        <w:pStyle w:val="ConsPlusTitle"/>
        <w:jc w:val="center"/>
        <w:outlineLvl w:val="1"/>
      </w:pPr>
      <w:r>
        <w:t>Подпрограмма</w:t>
      </w:r>
    </w:p>
    <w:p w:rsidR="000D1721" w:rsidRDefault="000D1721">
      <w:pPr>
        <w:pStyle w:val="ConsPlusTitle"/>
        <w:jc w:val="center"/>
      </w:pPr>
      <w:r>
        <w:t>"</w:t>
      </w:r>
      <w:bookmarkStart w:id="0" w:name="_GoBack"/>
      <w:r>
        <w:t xml:space="preserve">Доступная среда для инвалидов </w:t>
      </w:r>
      <w:bookmarkEnd w:id="0"/>
      <w:r>
        <w:t>и маломобильных групп</w:t>
      </w:r>
    </w:p>
    <w:p w:rsidR="000D1721" w:rsidRDefault="000D1721">
      <w:pPr>
        <w:pStyle w:val="ConsPlusTitle"/>
        <w:jc w:val="center"/>
      </w:pPr>
      <w:r>
        <w:t>населения в Ленинградской области"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ПАСПОРТ</w:t>
      </w:r>
    </w:p>
    <w:p w:rsidR="000D1721" w:rsidRDefault="000D1721">
      <w:pPr>
        <w:pStyle w:val="ConsPlusTitle"/>
        <w:jc w:val="center"/>
      </w:pPr>
      <w:r>
        <w:t>подпрограммы "Доступная среда для инвалидов и маломобильных</w:t>
      </w:r>
    </w:p>
    <w:p w:rsidR="000D1721" w:rsidRDefault="000D1721">
      <w:pPr>
        <w:pStyle w:val="ConsPlusTitle"/>
        <w:jc w:val="center"/>
      </w:pPr>
      <w:r>
        <w:t>групп населения в Ленинградской области"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0D1721" w:rsidRDefault="000D1721">
            <w:pPr>
              <w:pStyle w:val="ConsPlusNormal"/>
              <w:jc w:val="both"/>
            </w:pPr>
            <w:r>
              <w:t>Комитет по здравоохранению Ленинградской области;</w:t>
            </w:r>
          </w:p>
          <w:p w:rsidR="000D1721" w:rsidRDefault="000D1721">
            <w:pPr>
              <w:pStyle w:val="ConsPlusNormal"/>
              <w:jc w:val="both"/>
            </w:pPr>
            <w:r>
              <w:t>комитет по труду и занятости населения Ленинградской области;</w:t>
            </w:r>
          </w:p>
          <w:p w:rsidR="000D1721" w:rsidRDefault="000D1721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области;</w:t>
            </w:r>
          </w:p>
          <w:p w:rsidR="000D1721" w:rsidRDefault="000D1721">
            <w:pPr>
              <w:pStyle w:val="ConsPlusNormal"/>
              <w:jc w:val="both"/>
            </w:pPr>
            <w:r>
              <w:t>управление Ленинградской области по транспорту;</w:t>
            </w:r>
          </w:p>
          <w:p w:rsidR="000D1721" w:rsidRDefault="000D1721">
            <w:pPr>
              <w:pStyle w:val="ConsPlusNormal"/>
              <w:jc w:val="both"/>
            </w:pPr>
            <w:r>
              <w:t>комитет по культуре Ленинградской области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Формирование доступной среды жизнедеятельности для лиц с ограниченными возможностями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Повышение уровня доступности приоритетных объектов и услуг для лиц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инвалидов.</w:t>
            </w:r>
          </w:p>
          <w:p w:rsidR="000D1721" w:rsidRDefault="000D1721">
            <w:pPr>
              <w:pStyle w:val="ConsPlusNormal"/>
              <w:jc w:val="both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2019-2024 годы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Общий объем финансового обеспечения подпрограммы составляет 311961,7 тыс. рублей, в том числе:</w:t>
            </w:r>
          </w:p>
          <w:p w:rsidR="000D1721" w:rsidRDefault="000D1721">
            <w:pPr>
              <w:pStyle w:val="ConsPlusNormal"/>
              <w:jc w:val="both"/>
            </w:pPr>
            <w:r>
              <w:t>2019 год - 54097,2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2020 год - 52172,9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2021 год - 51422,9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2022 год - 51422,9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2023 год - 51422,9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2024 год - 51422,9 тыс. рублей</w:t>
            </w:r>
          </w:p>
        </w:tc>
      </w:tr>
      <w:tr w:rsidR="000D1721">
        <w:tc>
          <w:tcPr>
            <w:tcW w:w="2154" w:type="dxa"/>
          </w:tcPr>
          <w:p w:rsidR="000D1721" w:rsidRDefault="000D172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17" w:type="dxa"/>
          </w:tcPr>
          <w:p w:rsidR="000D1721" w:rsidRDefault="000D1721">
            <w:pPr>
              <w:pStyle w:val="ConsPlusNormal"/>
              <w:jc w:val="both"/>
            </w:pPr>
            <w:r>
              <w:t>К 2024 году:</w:t>
            </w:r>
          </w:p>
          <w:p w:rsidR="000D1721" w:rsidRDefault="000D1721">
            <w:pPr>
              <w:pStyle w:val="ConsPlusNormal"/>
              <w:jc w:val="both"/>
            </w:pPr>
            <w:proofErr w:type="gramStart"/>
            <w:r>
              <w:t xml:space="preserve">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услуг, а также доли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</w:t>
            </w:r>
            <w:r>
              <w:lastRenderedPageBreak/>
              <w:t>жилых помещений, до 100 проц.;</w:t>
            </w:r>
            <w:proofErr w:type="gramEnd"/>
          </w:p>
          <w:p w:rsidR="000D1721" w:rsidRDefault="000D1721">
            <w:pPr>
              <w:pStyle w:val="ConsPlusNormal"/>
              <w:jc w:val="both"/>
            </w:pPr>
            <w: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 до 65 проц.</w:t>
            </w:r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0D1721" w:rsidRDefault="000D1721">
      <w:pPr>
        <w:pStyle w:val="ConsPlusTitle"/>
        <w:jc w:val="center"/>
      </w:pPr>
      <w:r>
        <w:t>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 xml:space="preserve">В 2012 году Российская Федерация ратифицировала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ООН о правах инвалидов от 13 декабря 2006 года (далее - Конвенция), что является показателем готовности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1) повышение уровня доступности приоритетных объектов и услуг для лиц с ограниченными возможностями, повышение уровня доступности жилых помещений и общего имущества в многоквартирных домах с учетом потребностей инвалидов.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Приоритетными сферами жизнедеятельности инвалидов и других маломобильных групп населения для целей подпрограммы определены здравоохранение, культура, транспортная и пешеходная инфраструктура, информация и связь, образование, социальная защита, занятость, спорт и физическая культура.</w:t>
      </w:r>
    </w:p>
    <w:p w:rsidR="000D1721" w:rsidRDefault="000D1721">
      <w:pPr>
        <w:pStyle w:val="ConsPlusNormal"/>
        <w:spacing w:before="220"/>
        <w:ind w:firstLine="540"/>
        <w:jc w:val="both"/>
      </w:pPr>
      <w:proofErr w:type="gramStart"/>
      <w:r>
        <w:t>Решение задачи будет обеспечено путем приспособления жилых помещений и общего имущества в многоквартирных домах с учетом потребностей инвалидов -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проживающего в этом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помещению;</w:t>
      </w:r>
      <w:proofErr w:type="gramEnd"/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2) формирование условий для просвещенности граждан в вопросах инвалидности и устранения </w:t>
      </w:r>
      <w:proofErr w:type="spellStart"/>
      <w:r>
        <w:t>отношенческих</w:t>
      </w:r>
      <w:proofErr w:type="spellEnd"/>
      <w:r>
        <w:t xml:space="preserve"> барьеров.</w:t>
      </w:r>
    </w:p>
    <w:p w:rsidR="000D1721" w:rsidRDefault="000D1721">
      <w:pPr>
        <w:pStyle w:val="ConsPlusNormal"/>
        <w:spacing w:before="220"/>
        <w:ind w:firstLine="540"/>
        <w:jc w:val="both"/>
      </w:pPr>
      <w:proofErr w:type="gramStart"/>
      <w:r>
        <w:t>В целях формирования позитивного отношения к проблеме обеспечения доступной среды жизнедеятельности для инвалидов, формирования мнения об инвалидах как о равных членах общества, исключения проявления дискриминации по признаку инвалидности,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кампаний, "круглых столов", семинаров.</w:t>
      </w:r>
      <w:proofErr w:type="gramEnd"/>
      <w:r>
        <w:t xml:space="preserve"> На официальном сайте комитета по </w:t>
      </w:r>
      <w:r>
        <w:lastRenderedPageBreak/>
        <w:t>социальной защите населения Ленинградской области создан раздел "Доступная среда".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proofErr w:type="gramStart"/>
      <w:r>
        <w:t>1) 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услуг, а также доли инвалидов, проживающих в жилых помещениях, приспособленных с учетом потребностей инвалидов, от общего числа инвалидов, имеющих соответствующие заключения по результатам обследования жилых помещений, до 100 проц.;</w:t>
      </w:r>
      <w:proofErr w:type="gramEnd"/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2) увеличение доли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Ленинградской области до 65 проц.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2.1. Основное мероприятие "Мероприятия по приспособлению</w:t>
      </w:r>
    </w:p>
    <w:p w:rsidR="000D1721" w:rsidRDefault="000D1721">
      <w:pPr>
        <w:pStyle w:val="ConsPlusTitle"/>
        <w:jc w:val="center"/>
      </w:pPr>
      <w:r>
        <w:t>объектов для доступа инвалидов и маломобильных групп</w:t>
      </w:r>
    </w:p>
    <w:p w:rsidR="000D1721" w:rsidRDefault="000D1721">
      <w:pPr>
        <w:pStyle w:val="ConsPlusTitle"/>
        <w:jc w:val="center"/>
      </w:pPr>
      <w:r>
        <w:t>населения"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продолжение работы по обследованию и паспортизации объектов социальной инфраструктуры и услуг в приоритетных для инвалидов сферах жизнедеятельности;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продолжение работы по обследованию жилых помещений в целях приспособления с учетом потребностей инвалидов;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работы по приспособлению жилых помещений и общего имущества в многоквартирных домах с учетом потребностей инвалидов;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разработка, формирование и обновление карты доступности объектов и услуг Ленинградской области;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2.2. Основное мероприятие "Информационно-методическое</w:t>
      </w:r>
    </w:p>
    <w:p w:rsidR="000D1721" w:rsidRDefault="000D1721">
      <w:pPr>
        <w:pStyle w:val="ConsPlusTitle"/>
        <w:jc w:val="center"/>
      </w:pPr>
      <w:r>
        <w:t>обеспечение деятельности специалистов"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проведение семинаров для работников учреждений социальной защиты населения по вопросам формирования доступной среды жизнедеятельности для инвалидов;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>
        <w:t>неслышащих</w:t>
      </w:r>
      <w:proofErr w:type="spellEnd"/>
      <w: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>
        <w:t>тифлокомментаторов</w:t>
      </w:r>
      <w:proofErr w:type="spellEnd"/>
      <w:r>
        <w:t>.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jc w:val="right"/>
        <w:outlineLvl w:val="4"/>
      </w:pPr>
      <w:r>
        <w:lastRenderedPageBreak/>
        <w:t>Таблица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</w:pPr>
      <w:r>
        <w:t>Показатели реализации основных мероприятий подпрограммы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35"/>
        <w:gridCol w:w="1077"/>
        <w:gridCol w:w="724"/>
        <w:gridCol w:w="604"/>
        <w:gridCol w:w="664"/>
        <w:gridCol w:w="664"/>
        <w:gridCol w:w="664"/>
        <w:gridCol w:w="664"/>
        <w:gridCol w:w="664"/>
      </w:tblGrid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gridSpan w:val="2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24" w:type="dxa"/>
            <w:gridSpan w:val="6"/>
          </w:tcPr>
          <w:p w:rsidR="000D1721" w:rsidRDefault="000D1721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3912" w:type="dxa"/>
            <w:gridSpan w:val="2"/>
            <w:vMerge/>
          </w:tcPr>
          <w:p w:rsidR="000D1721" w:rsidRDefault="000D1721"/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2024 год</w:t>
            </w:r>
          </w:p>
        </w:tc>
      </w:tr>
      <w:tr w:rsidR="000D1721">
        <w:tc>
          <w:tcPr>
            <w:tcW w:w="460" w:type="dxa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gridSpan w:val="2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</w:t>
            </w: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80,2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57,1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63,2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37,5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lastRenderedPageBreak/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29,2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</w:t>
            </w:r>
            <w:r>
              <w:lastRenderedPageBreak/>
              <w:t>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50,0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образовательных организаций дополнительного 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40,4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 xml:space="preserve">Доля выпускников-инвалидов 9 и 11 классов, </w:t>
            </w:r>
            <w:r>
              <w:lastRenderedPageBreak/>
              <w:t xml:space="preserve">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100,0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60,6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19,9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68,0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69,0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57,3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  <w:tr w:rsidR="000D1721">
        <w:tc>
          <w:tcPr>
            <w:tcW w:w="460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  <w:vMerge w:val="restart"/>
          </w:tcPr>
          <w:p w:rsidR="000D1721" w:rsidRDefault="000D1721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</w:t>
            </w:r>
          </w:p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0D1721" w:rsidRDefault="000D172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0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0D1721" w:rsidRDefault="000D1721">
            <w:pPr>
              <w:pStyle w:val="ConsPlusNormal"/>
              <w:jc w:val="center"/>
            </w:pPr>
            <w:r>
              <w:t>95,0</w:t>
            </w:r>
          </w:p>
        </w:tc>
      </w:tr>
      <w:tr w:rsidR="000D1721">
        <w:tc>
          <w:tcPr>
            <w:tcW w:w="460" w:type="dxa"/>
            <w:vMerge/>
          </w:tcPr>
          <w:p w:rsidR="000D1721" w:rsidRDefault="000D1721"/>
        </w:tc>
        <w:tc>
          <w:tcPr>
            <w:tcW w:w="2835" w:type="dxa"/>
            <w:vMerge/>
          </w:tcPr>
          <w:p w:rsidR="000D1721" w:rsidRDefault="000D1721"/>
        </w:tc>
        <w:tc>
          <w:tcPr>
            <w:tcW w:w="1077" w:type="dxa"/>
          </w:tcPr>
          <w:p w:rsidR="000D1721" w:rsidRDefault="000D1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0D1721" w:rsidRDefault="000D1721"/>
        </w:tc>
        <w:tc>
          <w:tcPr>
            <w:tcW w:w="60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  <w:tc>
          <w:tcPr>
            <w:tcW w:w="664" w:type="dxa"/>
          </w:tcPr>
          <w:p w:rsidR="000D1721" w:rsidRDefault="000D1721">
            <w:pPr>
              <w:pStyle w:val="ConsPlusNormal"/>
            </w:pPr>
          </w:p>
        </w:tc>
      </w:tr>
    </w:tbl>
    <w:p w:rsidR="000D1721" w:rsidRDefault="000D1721">
      <w:pPr>
        <w:pStyle w:val="ConsPlusNormal"/>
      </w:pPr>
    </w:p>
    <w:sectPr w:rsidR="000D1721" w:rsidSect="00E7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1"/>
    <w:rsid w:val="000D1721"/>
    <w:rsid w:val="002E4217"/>
    <w:rsid w:val="004359A9"/>
    <w:rsid w:val="006F729B"/>
    <w:rsid w:val="00A81ABE"/>
    <w:rsid w:val="00E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0F69B49ED078F05B4668CB8345F005D46714AE324AA43723828378FA21F98B7E85F14E7C54C22A2CB5C40BgD3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Чешева Алла Дмитриевна.</cp:lastModifiedBy>
  <cp:revision>2</cp:revision>
  <dcterms:created xsi:type="dcterms:W3CDTF">2019-03-13T10:36:00Z</dcterms:created>
  <dcterms:modified xsi:type="dcterms:W3CDTF">2019-03-13T10:36:00Z</dcterms:modified>
</cp:coreProperties>
</file>